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23C1E8A" w14:textId="64A8C219" w:rsidR="00E625FA" w:rsidRPr="008D79F8" w:rsidRDefault="00000000" w:rsidP="005B4C1C">
      <w:pPr>
        <w:pStyle w:val="Heading1"/>
        <w:rPr>
          <w:rFonts w:asciiTheme="minorHAnsi" w:hAnsiTheme="minorHAnsi"/>
          <w:b/>
          <w:bCs/>
          <w:color w:val="000000" w:themeColor="text1"/>
          <w:sz w:val="22"/>
          <w:szCs w:val="22"/>
        </w:rPr>
      </w:pPr>
      <w:bookmarkStart w:id="0" w:name="proposed-ncc-merp-recommendation"/>
      <w:r w:rsidRPr="008D79F8">
        <w:rPr>
          <w:rFonts w:asciiTheme="minorHAnsi" w:hAnsiTheme="minorHAnsi"/>
          <w:b/>
          <w:bCs/>
          <w:color w:val="000000" w:themeColor="text1"/>
          <w:sz w:val="22"/>
          <w:szCs w:val="22"/>
        </w:rPr>
        <w:t>NCC MERP Recommendation</w:t>
      </w:r>
      <w:bookmarkStart w:id="1" w:name="X3bbbe848df7f4a10f5e4ef70632e6f01a8e5f5d"/>
      <w:r w:rsidR="005B4C1C" w:rsidRPr="008D79F8">
        <w:rPr>
          <w:rFonts w:asciiTheme="minorHAnsi" w:hAnsiTheme="minorHAnsi"/>
          <w:b/>
          <w:bCs/>
          <w:color w:val="000000" w:themeColor="text1"/>
          <w:sz w:val="22"/>
          <w:szCs w:val="22"/>
        </w:rPr>
        <w:t xml:space="preserve">: </w:t>
      </w:r>
      <w:r w:rsidRPr="008D79F8">
        <w:rPr>
          <w:rFonts w:asciiTheme="minorHAnsi" w:hAnsiTheme="minorHAnsi"/>
          <w:b/>
          <w:bCs/>
          <w:color w:val="000000" w:themeColor="text1"/>
          <w:sz w:val="22"/>
          <w:szCs w:val="22"/>
        </w:rPr>
        <w:t>Medication-Use Safety for Hospitalized Patients with Parkinson’s Disease</w:t>
      </w:r>
    </w:p>
    <w:p w14:paraId="5F393F6D" w14:textId="77777777" w:rsidR="005B4C1C" w:rsidRPr="008D79F8" w:rsidRDefault="005B4C1C">
      <w:pPr>
        <w:pStyle w:val="FirstParagraph"/>
        <w:rPr>
          <w:b/>
          <w:bCs/>
          <w:sz w:val="22"/>
          <w:szCs w:val="22"/>
          <w:u w:val="single"/>
        </w:rPr>
      </w:pPr>
      <w:r w:rsidRPr="008D79F8">
        <w:rPr>
          <w:b/>
          <w:bCs/>
          <w:sz w:val="22"/>
          <w:szCs w:val="22"/>
          <w:u w:val="single"/>
        </w:rPr>
        <w:t>Background</w:t>
      </w:r>
    </w:p>
    <w:p w14:paraId="676C64D4" w14:textId="76AE4244" w:rsidR="00E625FA" w:rsidRPr="008D79F8" w:rsidRDefault="00000000">
      <w:pPr>
        <w:pStyle w:val="FirstParagraph"/>
        <w:rPr>
          <w:sz w:val="22"/>
          <w:szCs w:val="22"/>
        </w:rPr>
      </w:pPr>
      <w:r w:rsidRPr="008D79F8">
        <w:rPr>
          <w:sz w:val="22"/>
          <w:szCs w:val="22"/>
        </w:rPr>
        <w:t>Hospitalized patients with Parkinson’s disease (PD) are at high risk for preventable medication-related harm [1</w:t>
      </w:r>
      <w:r w:rsidR="00430D43" w:rsidRPr="008D79F8">
        <w:rPr>
          <w:sz w:val="22"/>
          <w:szCs w:val="22"/>
        </w:rPr>
        <w:t>–</w:t>
      </w:r>
      <w:r w:rsidR="00990805">
        <w:rPr>
          <w:sz w:val="22"/>
          <w:szCs w:val="22"/>
        </w:rPr>
        <w:t>5</w:t>
      </w:r>
      <w:r w:rsidRPr="008D79F8">
        <w:rPr>
          <w:sz w:val="22"/>
          <w:szCs w:val="22"/>
        </w:rPr>
        <w:t>]. Unlike many chronic diseases, successful management of PD depends on individualized medication regimens that require administration at precise times [1</w:t>
      </w:r>
      <w:r w:rsidR="003663F4" w:rsidRPr="008D79F8">
        <w:rPr>
          <w:sz w:val="22"/>
          <w:szCs w:val="22"/>
        </w:rPr>
        <w:t>–</w:t>
      </w:r>
      <w:r w:rsidR="00990805">
        <w:rPr>
          <w:sz w:val="22"/>
          <w:szCs w:val="22"/>
        </w:rPr>
        <w:t>3,6</w:t>
      </w:r>
      <w:r w:rsidRPr="008D79F8">
        <w:rPr>
          <w:sz w:val="22"/>
          <w:szCs w:val="22"/>
        </w:rPr>
        <w:t>,</w:t>
      </w:r>
      <w:r w:rsidR="00430D43">
        <w:rPr>
          <w:sz w:val="22"/>
          <w:szCs w:val="22"/>
        </w:rPr>
        <w:t>7</w:t>
      </w:r>
      <w:r w:rsidRPr="008D79F8">
        <w:rPr>
          <w:sz w:val="22"/>
          <w:szCs w:val="22"/>
        </w:rPr>
        <w:t xml:space="preserve">]. </w:t>
      </w:r>
      <w:r w:rsidR="003663F4">
        <w:rPr>
          <w:sz w:val="22"/>
          <w:szCs w:val="22"/>
        </w:rPr>
        <w:t>O</w:t>
      </w:r>
      <w:r w:rsidRPr="008D79F8">
        <w:rPr>
          <w:sz w:val="22"/>
          <w:szCs w:val="22"/>
        </w:rPr>
        <w:t>mitted doses, abrupt discontinuation, exposure to contraindicated medications</w:t>
      </w:r>
      <w:r w:rsidR="003663F4">
        <w:rPr>
          <w:sz w:val="22"/>
          <w:szCs w:val="22"/>
        </w:rPr>
        <w:t xml:space="preserve">, </w:t>
      </w:r>
      <w:r w:rsidR="003663F4" w:rsidRPr="008D79F8">
        <w:rPr>
          <w:sz w:val="22"/>
          <w:szCs w:val="22"/>
        </w:rPr>
        <w:t>or</w:t>
      </w:r>
      <w:r w:rsidR="003663F4">
        <w:rPr>
          <w:sz w:val="22"/>
          <w:szCs w:val="22"/>
        </w:rPr>
        <w:t xml:space="preserve"> even brief delays in medication administration</w:t>
      </w:r>
      <w:r w:rsidRPr="008D79F8">
        <w:rPr>
          <w:sz w:val="22"/>
          <w:szCs w:val="22"/>
        </w:rPr>
        <w:t xml:space="preserve"> can result in rapid clinical deterioration, including worsening motor function, impaired swallowing, delirium, prolonged hospitalization, and, in severe cases, life-threatening complications [1</w:t>
      </w:r>
      <w:r w:rsidR="003663F4" w:rsidRPr="008D79F8">
        <w:rPr>
          <w:sz w:val="22"/>
          <w:szCs w:val="22"/>
        </w:rPr>
        <w:t>–</w:t>
      </w:r>
      <w:r w:rsidR="00990805">
        <w:rPr>
          <w:sz w:val="22"/>
          <w:szCs w:val="22"/>
        </w:rPr>
        <w:t>3</w:t>
      </w:r>
      <w:r w:rsidR="00430D43">
        <w:rPr>
          <w:sz w:val="22"/>
          <w:szCs w:val="22"/>
        </w:rPr>
        <w:t>,</w:t>
      </w:r>
      <w:r w:rsidR="00990805">
        <w:rPr>
          <w:sz w:val="22"/>
          <w:szCs w:val="22"/>
        </w:rPr>
        <w:t>6</w:t>
      </w:r>
      <w:r w:rsidR="00430D43" w:rsidRPr="008D79F8">
        <w:rPr>
          <w:sz w:val="22"/>
          <w:szCs w:val="22"/>
        </w:rPr>
        <w:t>–</w:t>
      </w:r>
      <w:r w:rsidR="00990805" w:rsidRPr="008D79F8">
        <w:rPr>
          <w:sz w:val="22"/>
          <w:szCs w:val="22"/>
        </w:rPr>
        <w:t>1</w:t>
      </w:r>
      <w:r w:rsidR="00990805">
        <w:rPr>
          <w:sz w:val="22"/>
          <w:szCs w:val="22"/>
        </w:rPr>
        <w:t>0</w:t>
      </w:r>
      <w:r w:rsidRPr="008D79F8">
        <w:rPr>
          <w:sz w:val="22"/>
          <w:szCs w:val="22"/>
        </w:rPr>
        <w:t>]. Despite these well-recognized risks, hospitals frequently lack standardized systems to ensure safe medication management for patients with PD [1</w:t>
      </w:r>
      <w:r w:rsidR="00430D43" w:rsidRPr="008D79F8">
        <w:rPr>
          <w:sz w:val="22"/>
          <w:szCs w:val="22"/>
        </w:rPr>
        <w:t>–</w:t>
      </w:r>
      <w:r w:rsidR="00990805">
        <w:rPr>
          <w:sz w:val="22"/>
          <w:szCs w:val="22"/>
        </w:rPr>
        <w:t>5</w:t>
      </w:r>
      <w:r w:rsidRPr="008D79F8">
        <w:rPr>
          <w:sz w:val="22"/>
          <w:szCs w:val="22"/>
        </w:rPr>
        <w:t>,</w:t>
      </w:r>
      <w:r w:rsidR="00990805">
        <w:rPr>
          <w:sz w:val="22"/>
          <w:szCs w:val="22"/>
        </w:rPr>
        <w:t>7</w:t>
      </w:r>
      <w:r w:rsidRPr="008D79F8">
        <w:rPr>
          <w:sz w:val="22"/>
          <w:szCs w:val="22"/>
        </w:rPr>
        <w:t>].</w:t>
      </w:r>
    </w:p>
    <w:p w14:paraId="6AACDACE" w14:textId="371DB071" w:rsidR="005B4C1C" w:rsidRPr="008D79F8" w:rsidRDefault="005B4C1C">
      <w:pPr>
        <w:pStyle w:val="BodyText"/>
        <w:rPr>
          <w:b/>
          <w:bCs/>
          <w:sz w:val="22"/>
          <w:szCs w:val="22"/>
          <w:u w:val="single"/>
        </w:rPr>
      </w:pPr>
      <w:r w:rsidRPr="008D79F8">
        <w:rPr>
          <w:b/>
          <w:bCs/>
          <w:sz w:val="22"/>
          <w:szCs w:val="22"/>
          <w:u w:val="single"/>
        </w:rPr>
        <w:t>Medication Safety Concerns</w:t>
      </w:r>
    </w:p>
    <w:p w14:paraId="44650AE8" w14:textId="16312417" w:rsidR="00E625FA" w:rsidRPr="008D79F8" w:rsidRDefault="00000000">
      <w:pPr>
        <w:pStyle w:val="BodyText"/>
        <w:rPr>
          <w:sz w:val="22"/>
          <w:szCs w:val="22"/>
        </w:rPr>
      </w:pPr>
      <w:r w:rsidRPr="008D79F8">
        <w:rPr>
          <w:sz w:val="22"/>
          <w:szCs w:val="22"/>
        </w:rPr>
        <w:t xml:space="preserve">Medication safety teams should recognize </w:t>
      </w:r>
      <w:r w:rsidR="008B07E3">
        <w:rPr>
          <w:sz w:val="22"/>
          <w:szCs w:val="22"/>
        </w:rPr>
        <w:t>PD</w:t>
      </w:r>
      <w:r w:rsidRPr="008D79F8">
        <w:rPr>
          <w:sz w:val="22"/>
          <w:szCs w:val="22"/>
        </w:rPr>
        <w:t xml:space="preserve"> as a high-risk condition requiring organization-wide safeguards [1,</w:t>
      </w:r>
      <w:r w:rsidR="00430D43">
        <w:rPr>
          <w:sz w:val="22"/>
          <w:szCs w:val="22"/>
        </w:rPr>
        <w:t>3</w:t>
      </w:r>
      <w:r w:rsidR="00430D43" w:rsidRPr="008D79F8">
        <w:rPr>
          <w:sz w:val="22"/>
          <w:szCs w:val="22"/>
        </w:rPr>
        <w:t>–</w:t>
      </w:r>
      <w:r w:rsidR="00990805">
        <w:rPr>
          <w:sz w:val="22"/>
          <w:szCs w:val="22"/>
        </w:rPr>
        <w:t>5</w:t>
      </w:r>
      <w:r w:rsidRPr="008D79F8">
        <w:rPr>
          <w:sz w:val="22"/>
          <w:szCs w:val="22"/>
        </w:rPr>
        <w:t>]. The greatest opportunities to reduce preventable harm involve addressing the following system failures:</w:t>
      </w:r>
    </w:p>
    <w:p w14:paraId="736043B7" w14:textId="764243B8" w:rsidR="00E625FA" w:rsidRPr="008D79F8" w:rsidRDefault="00000000">
      <w:pPr>
        <w:pStyle w:val="Compact"/>
        <w:numPr>
          <w:ilvl w:val="0"/>
          <w:numId w:val="2"/>
        </w:numPr>
        <w:rPr>
          <w:sz w:val="22"/>
          <w:szCs w:val="22"/>
        </w:rPr>
      </w:pPr>
      <w:r w:rsidRPr="008D79F8">
        <w:rPr>
          <w:b/>
          <w:bCs/>
          <w:sz w:val="22"/>
          <w:szCs w:val="22"/>
        </w:rPr>
        <w:t xml:space="preserve">Failure to identify patients with </w:t>
      </w:r>
      <w:r w:rsidR="008B07E3">
        <w:rPr>
          <w:b/>
          <w:bCs/>
          <w:sz w:val="22"/>
          <w:szCs w:val="22"/>
        </w:rPr>
        <w:t>PD</w:t>
      </w:r>
      <w:r w:rsidRPr="008D79F8">
        <w:rPr>
          <w:b/>
          <w:bCs/>
          <w:sz w:val="22"/>
          <w:szCs w:val="22"/>
        </w:rPr>
        <w:t xml:space="preserve"> early </w:t>
      </w:r>
      <w:r w:rsidRPr="008D79F8">
        <w:rPr>
          <w:sz w:val="22"/>
          <w:szCs w:val="22"/>
        </w:rPr>
        <w:t>and activate standardized care processes at admission. Particularly challenging when a patient is admitted through the Emergency Department or for a diagnosis other than PD [</w:t>
      </w:r>
      <w:r w:rsidR="00430D43">
        <w:rPr>
          <w:sz w:val="22"/>
          <w:szCs w:val="22"/>
        </w:rPr>
        <w:t>3</w:t>
      </w:r>
      <w:r w:rsidR="00430D43" w:rsidRPr="008D79F8">
        <w:rPr>
          <w:sz w:val="22"/>
          <w:szCs w:val="22"/>
        </w:rPr>
        <w:t>–</w:t>
      </w:r>
      <w:r w:rsidR="00990805">
        <w:rPr>
          <w:sz w:val="22"/>
          <w:szCs w:val="22"/>
        </w:rPr>
        <w:t>5,11</w:t>
      </w:r>
      <w:r w:rsidRPr="008D79F8">
        <w:rPr>
          <w:sz w:val="22"/>
          <w:szCs w:val="22"/>
        </w:rPr>
        <w:t>].</w:t>
      </w:r>
    </w:p>
    <w:p w14:paraId="4F12B0BA" w14:textId="731DD07D" w:rsidR="00E625FA" w:rsidRPr="008D79F8" w:rsidRDefault="00000000">
      <w:pPr>
        <w:pStyle w:val="Compact"/>
        <w:numPr>
          <w:ilvl w:val="0"/>
          <w:numId w:val="2"/>
        </w:numPr>
        <w:rPr>
          <w:sz w:val="22"/>
          <w:szCs w:val="22"/>
        </w:rPr>
      </w:pPr>
      <w:r w:rsidRPr="008D79F8">
        <w:rPr>
          <w:b/>
          <w:bCs/>
          <w:sz w:val="22"/>
          <w:szCs w:val="22"/>
        </w:rPr>
        <w:t>Incomplete medication reconciliation</w:t>
      </w:r>
      <w:r w:rsidRPr="008D79F8">
        <w:rPr>
          <w:sz w:val="22"/>
          <w:szCs w:val="22"/>
        </w:rPr>
        <w:t>, including failure to determine a patient’s exact home medication schedule that reflects dosages, formulations, dietary considerations (e.g., protein intake), and the time of the last administered dose of each medication [1</w:t>
      </w:r>
      <w:r w:rsidR="00430D43" w:rsidRPr="008D79F8">
        <w:rPr>
          <w:sz w:val="22"/>
          <w:szCs w:val="22"/>
        </w:rPr>
        <w:t>–</w:t>
      </w:r>
      <w:r w:rsidR="00990805">
        <w:rPr>
          <w:sz w:val="22"/>
          <w:szCs w:val="22"/>
        </w:rPr>
        <w:t>3</w:t>
      </w:r>
      <w:r w:rsidRPr="008D79F8">
        <w:rPr>
          <w:sz w:val="22"/>
          <w:szCs w:val="22"/>
        </w:rPr>
        <w:t>,</w:t>
      </w:r>
      <w:r w:rsidR="00990805">
        <w:rPr>
          <w:sz w:val="22"/>
          <w:szCs w:val="22"/>
        </w:rPr>
        <w:t>5</w:t>
      </w:r>
      <w:r w:rsidR="00430D43" w:rsidRPr="008D79F8">
        <w:rPr>
          <w:sz w:val="22"/>
          <w:szCs w:val="22"/>
        </w:rPr>
        <w:t>–</w:t>
      </w:r>
      <w:r w:rsidR="00990805">
        <w:rPr>
          <w:sz w:val="22"/>
          <w:szCs w:val="22"/>
        </w:rPr>
        <w:t>7</w:t>
      </w:r>
      <w:r w:rsidR="00FB1F69">
        <w:rPr>
          <w:sz w:val="22"/>
          <w:szCs w:val="22"/>
        </w:rPr>
        <w:t>,</w:t>
      </w:r>
      <w:r w:rsidR="00990805">
        <w:rPr>
          <w:sz w:val="22"/>
          <w:szCs w:val="22"/>
        </w:rPr>
        <w:t>9</w:t>
      </w:r>
      <w:r w:rsidR="00430D43">
        <w:rPr>
          <w:sz w:val="22"/>
          <w:szCs w:val="22"/>
        </w:rPr>
        <w:t>,12</w:t>
      </w:r>
      <w:r w:rsidRPr="008D79F8">
        <w:rPr>
          <w:sz w:val="22"/>
          <w:szCs w:val="22"/>
        </w:rPr>
        <w:t>].</w:t>
      </w:r>
    </w:p>
    <w:p w14:paraId="1B12A2F8" w14:textId="672CE0FA" w:rsidR="00E625FA" w:rsidRPr="008D79F8" w:rsidRDefault="00000000">
      <w:pPr>
        <w:pStyle w:val="Compact"/>
        <w:numPr>
          <w:ilvl w:val="0"/>
          <w:numId w:val="2"/>
        </w:numPr>
        <w:rPr>
          <w:sz w:val="22"/>
          <w:szCs w:val="22"/>
        </w:rPr>
      </w:pPr>
      <w:r w:rsidRPr="008D79F8">
        <w:rPr>
          <w:b/>
          <w:bCs/>
          <w:sz w:val="22"/>
          <w:szCs w:val="22"/>
        </w:rPr>
        <w:t xml:space="preserve">Failure to administer Parkinson’s medications </w:t>
      </w:r>
      <w:r w:rsidRPr="008D79F8">
        <w:rPr>
          <w:sz w:val="22"/>
          <w:szCs w:val="22"/>
        </w:rPr>
        <w:t xml:space="preserve">in </w:t>
      </w:r>
      <w:r w:rsidR="008D79F8" w:rsidRPr="008D79F8">
        <w:rPr>
          <w:sz w:val="22"/>
          <w:szCs w:val="22"/>
        </w:rPr>
        <w:t>accordance</w:t>
      </w:r>
      <w:r w:rsidRPr="008D79F8">
        <w:rPr>
          <w:sz w:val="22"/>
          <w:szCs w:val="22"/>
        </w:rPr>
        <w:t xml:space="preserve"> with the patient’s established home schedule, resulting in delayed, omitted, or abruptly discontinued therapy. Particularly challenging when the patient is transported off the patient care unit for diagnostic tests, procedures, or other services [1</w:t>
      </w:r>
      <w:r w:rsidR="003663F4" w:rsidRPr="008D79F8">
        <w:rPr>
          <w:sz w:val="22"/>
          <w:szCs w:val="22"/>
        </w:rPr>
        <w:t>–</w:t>
      </w:r>
      <w:r w:rsidR="00990805">
        <w:rPr>
          <w:sz w:val="22"/>
          <w:szCs w:val="22"/>
        </w:rPr>
        <w:t>3</w:t>
      </w:r>
      <w:r w:rsidRPr="008D79F8">
        <w:rPr>
          <w:sz w:val="22"/>
          <w:szCs w:val="22"/>
        </w:rPr>
        <w:t>,</w:t>
      </w:r>
      <w:r w:rsidR="00990805">
        <w:rPr>
          <w:sz w:val="22"/>
          <w:szCs w:val="22"/>
        </w:rPr>
        <w:t>5</w:t>
      </w:r>
      <w:r w:rsidR="00430D43" w:rsidRPr="008D79F8">
        <w:rPr>
          <w:sz w:val="22"/>
          <w:szCs w:val="22"/>
        </w:rPr>
        <w:t>–</w:t>
      </w:r>
      <w:r w:rsidR="00990805">
        <w:rPr>
          <w:sz w:val="22"/>
          <w:szCs w:val="22"/>
        </w:rPr>
        <w:t>7</w:t>
      </w:r>
      <w:r w:rsidR="00430D43">
        <w:rPr>
          <w:sz w:val="22"/>
          <w:szCs w:val="22"/>
        </w:rPr>
        <w:t>,1</w:t>
      </w:r>
      <w:r w:rsidR="00990805">
        <w:rPr>
          <w:sz w:val="22"/>
          <w:szCs w:val="22"/>
        </w:rPr>
        <w:t>0</w:t>
      </w:r>
      <w:r w:rsidRPr="008D79F8">
        <w:rPr>
          <w:sz w:val="22"/>
          <w:szCs w:val="22"/>
        </w:rPr>
        <w:t>].</w:t>
      </w:r>
    </w:p>
    <w:p w14:paraId="3502BDF0" w14:textId="502F12CE" w:rsidR="00E625FA" w:rsidRPr="008D79F8" w:rsidRDefault="00000000">
      <w:pPr>
        <w:pStyle w:val="Compact"/>
        <w:numPr>
          <w:ilvl w:val="0"/>
          <w:numId w:val="2"/>
        </w:numPr>
        <w:rPr>
          <w:sz w:val="22"/>
          <w:szCs w:val="22"/>
        </w:rPr>
      </w:pPr>
      <w:r w:rsidRPr="008D79F8">
        <w:rPr>
          <w:b/>
          <w:bCs/>
          <w:sz w:val="22"/>
          <w:szCs w:val="22"/>
        </w:rPr>
        <w:t>Inadequate planning for nothing by mouth (NPO) status, swallowing impairment, procedures, surgery, or medication unavailability</w:t>
      </w:r>
      <w:r w:rsidRPr="008D79F8">
        <w:rPr>
          <w:sz w:val="22"/>
          <w:szCs w:val="22"/>
        </w:rPr>
        <w:t>, leading to missed or delayed doses of Parkinson’s medications [2,</w:t>
      </w:r>
      <w:r w:rsidR="00990805">
        <w:rPr>
          <w:sz w:val="22"/>
          <w:szCs w:val="22"/>
        </w:rPr>
        <w:t>3</w:t>
      </w:r>
      <w:r w:rsidR="00430D43">
        <w:rPr>
          <w:sz w:val="22"/>
          <w:szCs w:val="22"/>
        </w:rPr>
        <w:t>,</w:t>
      </w:r>
      <w:r w:rsidR="00990805">
        <w:rPr>
          <w:sz w:val="22"/>
          <w:szCs w:val="22"/>
        </w:rPr>
        <w:t>5</w:t>
      </w:r>
      <w:r w:rsidR="00430D43" w:rsidRPr="008D79F8">
        <w:rPr>
          <w:sz w:val="22"/>
          <w:szCs w:val="22"/>
        </w:rPr>
        <w:t>–</w:t>
      </w:r>
      <w:r w:rsidR="00990805">
        <w:rPr>
          <w:sz w:val="22"/>
          <w:szCs w:val="22"/>
        </w:rPr>
        <w:t>7</w:t>
      </w:r>
      <w:r w:rsidRPr="008D79F8">
        <w:rPr>
          <w:sz w:val="22"/>
          <w:szCs w:val="22"/>
        </w:rPr>
        <w:t>,</w:t>
      </w:r>
      <w:r w:rsidR="00430D43">
        <w:rPr>
          <w:sz w:val="22"/>
          <w:szCs w:val="22"/>
        </w:rPr>
        <w:t>1</w:t>
      </w:r>
      <w:r w:rsidR="00990805">
        <w:rPr>
          <w:sz w:val="22"/>
          <w:szCs w:val="22"/>
        </w:rPr>
        <w:t>0,12,</w:t>
      </w:r>
      <w:r w:rsidR="00430D43">
        <w:rPr>
          <w:sz w:val="22"/>
          <w:szCs w:val="22"/>
        </w:rPr>
        <w:t>13</w:t>
      </w:r>
      <w:r w:rsidRPr="008D79F8">
        <w:rPr>
          <w:sz w:val="22"/>
          <w:szCs w:val="22"/>
        </w:rPr>
        <w:t>].</w:t>
      </w:r>
    </w:p>
    <w:p w14:paraId="453D82B8" w14:textId="3FBFCFAE" w:rsidR="00E625FA" w:rsidRPr="008D79F8" w:rsidRDefault="00000000">
      <w:pPr>
        <w:pStyle w:val="Compact"/>
        <w:numPr>
          <w:ilvl w:val="0"/>
          <w:numId w:val="2"/>
        </w:numPr>
        <w:rPr>
          <w:sz w:val="22"/>
          <w:szCs w:val="22"/>
        </w:rPr>
      </w:pPr>
      <w:r w:rsidRPr="008D79F8">
        <w:rPr>
          <w:b/>
          <w:bCs/>
          <w:sz w:val="22"/>
          <w:szCs w:val="22"/>
        </w:rPr>
        <w:t xml:space="preserve">Prescribing medications that can worsen PD symptoms </w:t>
      </w:r>
      <w:r w:rsidRPr="008D79F8">
        <w:rPr>
          <w:sz w:val="22"/>
          <w:szCs w:val="22"/>
        </w:rPr>
        <w:t>if drug-disease interactions are not recognized or prevented. Particularly concerning for dopamine-blocking antiemetics and antipsychotics, which may be included in standard hospital order sets but are inappropriate for patients with PD [1</w:t>
      </w:r>
      <w:r w:rsidR="003663F4" w:rsidRPr="008D79F8">
        <w:rPr>
          <w:sz w:val="22"/>
          <w:szCs w:val="22"/>
        </w:rPr>
        <w:t>–</w:t>
      </w:r>
      <w:r w:rsidR="00990805">
        <w:rPr>
          <w:sz w:val="22"/>
          <w:szCs w:val="22"/>
        </w:rPr>
        <w:t>3</w:t>
      </w:r>
      <w:r w:rsidR="00430D43">
        <w:rPr>
          <w:sz w:val="22"/>
          <w:szCs w:val="22"/>
        </w:rPr>
        <w:t>,</w:t>
      </w:r>
      <w:r w:rsidR="00990805">
        <w:rPr>
          <w:sz w:val="22"/>
          <w:szCs w:val="22"/>
        </w:rPr>
        <w:t>5</w:t>
      </w:r>
      <w:r w:rsidR="00430D43">
        <w:rPr>
          <w:sz w:val="22"/>
          <w:szCs w:val="22"/>
        </w:rPr>
        <w:t>,</w:t>
      </w:r>
      <w:r w:rsidR="00990805">
        <w:rPr>
          <w:sz w:val="22"/>
          <w:szCs w:val="22"/>
        </w:rPr>
        <w:t>7</w:t>
      </w:r>
      <w:r w:rsidR="00430D43">
        <w:rPr>
          <w:sz w:val="22"/>
          <w:szCs w:val="22"/>
        </w:rPr>
        <w:t>,</w:t>
      </w:r>
      <w:r w:rsidR="00990805">
        <w:rPr>
          <w:sz w:val="22"/>
          <w:szCs w:val="22"/>
        </w:rPr>
        <w:t>8</w:t>
      </w:r>
      <w:r w:rsidRPr="008D79F8">
        <w:rPr>
          <w:sz w:val="22"/>
          <w:szCs w:val="22"/>
        </w:rPr>
        <w:t>,</w:t>
      </w:r>
      <w:r w:rsidR="00430D43">
        <w:rPr>
          <w:sz w:val="22"/>
          <w:szCs w:val="22"/>
        </w:rPr>
        <w:t>13,14</w:t>
      </w:r>
      <w:r w:rsidRPr="008D79F8">
        <w:rPr>
          <w:sz w:val="22"/>
          <w:szCs w:val="22"/>
        </w:rPr>
        <w:t>].</w:t>
      </w:r>
      <w:r w:rsidRPr="008D79F8">
        <w:rPr>
          <w:b/>
          <w:bCs/>
          <w:sz w:val="22"/>
          <w:szCs w:val="22"/>
        </w:rPr>
        <w:t xml:space="preserve"> </w:t>
      </w:r>
    </w:p>
    <w:p w14:paraId="63CCA136" w14:textId="4F7CCFC1" w:rsidR="00E625FA" w:rsidRPr="008D79F8" w:rsidRDefault="00000000">
      <w:pPr>
        <w:pStyle w:val="Compact"/>
        <w:numPr>
          <w:ilvl w:val="0"/>
          <w:numId w:val="2"/>
        </w:numPr>
        <w:rPr>
          <w:sz w:val="22"/>
          <w:szCs w:val="22"/>
        </w:rPr>
      </w:pPr>
      <w:r w:rsidRPr="008D79F8">
        <w:rPr>
          <w:b/>
          <w:bCs/>
          <w:sz w:val="22"/>
          <w:szCs w:val="22"/>
        </w:rPr>
        <w:t xml:space="preserve">Insufficient coordination among care providers </w:t>
      </w:r>
      <w:r w:rsidRPr="008D79F8">
        <w:rPr>
          <w:sz w:val="22"/>
          <w:szCs w:val="22"/>
        </w:rPr>
        <w:t>(e.g., hospitalists, neurologists, movement disorder specialists, pharmacists, nurses, rehabilitation services), patients, and care partners throughout hospitalization and during transitions of care. Particularly important if the patient’s usual PD provider is not affiliated with the hospital system [1</w:t>
      </w:r>
      <w:r w:rsidR="00430D43" w:rsidRPr="008D79F8">
        <w:rPr>
          <w:sz w:val="22"/>
          <w:szCs w:val="22"/>
        </w:rPr>
        <w:t>–</w:t>
      </w:r>
      <w:r w:rsidR="00990805">
        <w:rPr>
          <w:sz w:val="22"/>
          <w:szCs w:val="22"/>
        </w:rPr>
        <w:t>5</w:t>
      </w:r>
      <w:r w:rsidRPr="008D79F8">
        <w:rPr>
          <w:sz w:val="22"/>
          <w:szCs w:val="22"/>
        </w:rPr>
        <w:t>,</w:t>
      </w:r>
      <w:r w:rsidR="00990805">
        <w:rPr>
          <w:sz w:val="22"/>
          <w:szCs w:val="22"/>
        </w:rPr>
        <w:t>7</w:t>
      </w:r>
      <w:r w:rsidR="00430D43">
        <w:rPr>
          <w:sz w:val="22"/>
          <w:szCs w:val="22"/>
        </w:rPr>
        <w:t>,</w:t>
      </w:r>
      <w:r w:rsidR="00990805">
        <w:rPr>
          <w:sz w:val="22"/>
          <w:szCs w:val="22"/>
        </w:rPr>
        <w:t>9,10,</w:t>
      </w:r>
      <w:r w:rsidR="00430D43">
        <w:rPr>
          <w:sz w:val="22"/>
          <w:szCs w:val="22"/>
        </w:rPr>
        <w:t>12</w:t>
      </w:r>
      <w:r w:rsidRPr="008D79F8">
        <w:rPr>
          <w:sz w:val="22"/>
          <w:szCs w:val="22"/>
        </w:rPr>
        <w:t xml:space="preserve">]. </w:t>
      </w:r>
    </w:p>
    <w:p w14:paraId="02D49703" w14:textId="77777777" w:rsidR="005B4C1C" w:rsidRPr="008D79F8" w:rsidRDefault="005B4C1C">
      <w:pPr>
        <w:pStyle w:val="FirstParagraph"/>
        <w:rPr>
          <w:b/>
          <w:bCs/>
          <w:sz w:val="22"/>
          <w:szCs w:val="22"/>
          <w:u w:val="single"/>
        </w:rPr>
      </w:pPr>
      <w:r w:rsidRPr="008D79F8">
        <w:rPr>
          <w:b/>
          <w:bCs/>
          <w:sz w:val="22"/>
          <w:szCs w:val="22"/>
          <w:u w:val="single"/>
        </w:rPr>
        <w:t xml:space="preserve">Call to Action </w:t>
      </w:r>
    </w:p>
    <w:p w14:paraId="3C5182B0" w14:textId="3C8F1F87" w:rsidR="00E625FA" w:rsidRPr="008D79F8" w:rsidRDefault="00000000">
      <w:pPr>
        <w:pStyle w:val="FirstParagraph"/>
        <w:rPr>
          <w:sz w:val="22"/>
          <w:szCs w:val="22"/>
        </w:rPr>
      </w:pPr>
      <w:r w:rsidRPr="008D79F8">
        <w:rPr>
          <w:sz w:val="22"/>
          <w:szCs w:val="22"/>
        </w:rPr>
        <w:t xml:space="preserve">NCC MERP recommends that hospitals develop standardized, multidisciplinary processes with organization-wide safeguards intended to identify patients with </w:t>
      </w:r>
      <w:r w:rsidR="008B07E3">
        <w:rPr>
          <w:sz w:val="22"/>
          <w:szCs w:val="22"/>
        </w:rPr>
        <w:t>PD</w:t>
      </w:r>
      <w:r w:rsidRPr="008D79F8">
        <w:rPr>
          <w:sz w:val="22"/>
          <w:szCs w:val="22"/>
        </w:rPr>
        <w:t xml:space="preserve"> at admission, ensure accurate medication reconciliation, support exact-time medication administration, prevent harmful drug-disease interactions, anticipate swallowing and perioperative challenges, and actively engage patients and care partners in medication management [1</w:t>
      </w:r>
      <w:r w:rsidR="00430D43" w:rsidRPr="008D79F8">
        <w:rPr>
          <w:sz w:val="22"/>
          <w:szCs w:val="22"/>
        </w:rPr>
        <w:t>–</w:t>
      </w:r>
      <w:r w:rsidR="00990805">
        <w:rPr>
          <w:sz w:val="22"/>
          <w:szCs w:val="22"/>
        </w:rPr>
        <w:t>5</w:t>
      </w:r>
      <w:r w:rsidR="00430D43">
        <w:rPr>
          <w:sz w:val="22"/>
          <w:szCs w:val="22"/>
        </w:rPr>
        <w:t>,</w:t>
      </w:r>
      <w:r w:rsidR="00990805">
        <w:rPr>
          <w:sz w:val="22"/>
          <w:szCs w:val="22"/>
        </w:rPr>
        <w:t>7</w:t>
      </w:r>
      <w:r w:rsidR="00430D43">
        <w:rPr>
          <w:sz w:val="22"/>
          <w:szCs w:val="22"/>
        </w:rPr>
        <w:t>,</w:t>
      </w:r>
      <w:r w:rsidR="00990805">
        <w:rPr>
          <w:sz w:val="22"/>
          <w:szCs w:val="22"/>
        </w:rPr>
        <w:t>9</w:t>
      </w:r>
      <w:r w:rsidRPr="008D79F8">
        <w:rPr>
          <w:sz w:val="22"/>
          <w:szCs w:val="22"/>
        </w:rPr>
        <w:t>–14]. These system-based interventions can substantially reduce preventable medication errors and improve outcomes for hospitalized patients with PD [1,</w:t>
      </w:r>
      <w:r w:rsidR="00990805">
        <w:rPr>
          <w:sz w:val="22"/>
          <w:szCs w:val="22"/>
        </w:rPr>
        <w:t>5</w:t>
      </w:r>
      <w:r w:rsidR="00430D43" w:rsidRPr="008D79F8">
        <w:rPr>
          <w:sz w:val="22"/>
          <w:szCs w:val="22"/>
        </w:rPr>
        <w:t>–</w:t>
      </w:r>
      <w:r w:rsidR="00990805">
        <w:rPr>
          <w:sz w:val="22"/>
          <w:szCs w:val="22"/>
        </w:rPr>
        <w:t>7</w:t>
      </w:r>
      <w:r w:rsidR="00430D43">
        <w:rPr>
          <w:sz w:val="22"/>
          <w:szCs w:val="22"/>
        </w:rPr>
        <w:t>,</w:t>
      </w:r>
      <w:r w:rsidRPr="008D79F8">
        <w:rPr>
          <w:sz w:val="22"/>
          <w:szCs w:val="22"/>
        </w:rPr>
        <w:t>1</w:t>
      </w:r>
      <w:r w:rsidR="00430D43">
        <w:rPr>
          <w:sz w:val="22"/>
          <w:szCs w:val="22"/>
        </w:rPr>
        <w:t>3</w:t>
      </w:r>
      <w:r w:rsidR="00990805" w:rsidRPr="008D79F8">
        <w:rPr>
          <w:sz w:val="22"/>
          <w:szCs w:val="22"/>
        </w:rPr>
        <w:t>–</w:t>
      </w:r>
      <w:r w:rsidR="00430D43">
        <w:rPr>
          <w:sz w:val="22"/>
          <w:szCs w:val="22"/>
        </w:rPr>
        <w:t>1</w:t>
      </w:r>
      <w:r w:rsidR="00990805">
        <w:rPr>
          <w:sz w:val="22"/>
          <w:szCs w:val="22"/>
        </w:rPr>
        <w:t>5</w:t>
      </w:r>
      <w:r w:rsidRPr="008D79F8">
        <w:rPr>
          <w:sz w:val="22"/>
          <w:szCs w:val="22"/>
        </w:rPr>
        <w:t xml:space="preserve">]. </w:t>
      </w:r>
      <w:bookmarkEnd w:id="0"/>
      <w:bookmarkEnd w:id="1"/>
    </w:p>
    <w:p w14:paraId="56E9C2B7" w14:textId="77777777" w:rsidR="00043419" w:rsidRPr="008D79F8" w:rsidRDefault="00043419" w:rsidP="00043419">
      <w:pPr>
        <w:pStyle w:val="BodyText"/>
        <w:rPr>
          <w:sz w:val="22"/>
          <w:szCs w:val="22"/>
        </w:rPr>
      </w:pPr>
    </w:p>
    <w:p w14:paraId="080C2666" w14:textId="77777777" w:rsidR="008819B6" w:rsidRPr="008D79F8" w:rsidRDefault="008819B6" w:rsidP="008819B6">
      <w:pPr>
        <w:pStyle w:val="BodyText"/>
        <w:rPr>
          <w:rFonts w:cs="Calibri"/>
          <w:b/>
          <w:bCs/>
          <w:sz w:val="22"/>
          <w:szCs w:val="22"/>
          <w:u w:val="single"/>
        </w:rPr>
      </w:pPr>
      <w:r w:rsidRPr="008D79F8">
        <w:rPr>
          <w:rFonts w:cs="Calibri"/>
          <w:b/>
          <w:bCs/>
          <w:sz w:val="22"/>
          <w:szCs w:val="22"/>
          <w:u w:val="single"/>
        </w:rPr>
        <w:t>References</w:t>
      </w:r>
    </w:p>
    <w:p w14:paraId="1F44A4EE" w14:textId="45A3D26F" w:rsidR="00043419" w:rsidRPr="008D79F8" w:rsidRDefault="008819B6" w:rsidP="009C0BC7">
      <w:pPr>
        <w:pStyle w:val="NormalWeb"/>
        <w:numPr>
          <w:ilvl w:val="0"/>
          <w:numId w:val="3"/>
        </w:numPr>
        <w:spacing w:after="0"/>
        <w:rPr>
          <w:rFonts w:asciiTheme="minorHAnsi" w:hAnsiTheme="minorHAnsi" w:cs="Calibri"/>
          <w:color w:val="000000"/>
          <w:sz w:val="22"/>
          <w:szCs w:val="22"/>
        </w:rPr>
      </w:pPr>
      <w:r w:rsidRPr="008D79F8">
        <w:rPr>
          <w:rFonts w:asciiTheme="minorHAnsi" w:hAnsiTheme="minorHAnsi"/>
          <w:sz w:val="22"/>
          <w:szCs w:val="22"/>
        </w:rPr>
        <w:t xml:space="preserve">Carpentier </w:t>
      </w:r>
      <w:r w:rsidR="003663F4">
        <w:rPr>
          <w:rFonts w:asciiTheme="minorHAnsi" w:hAnsiTheme="minorHAnsi"/>
          <w:sz w:val="22"/>
          <w:szCs w:val="22"/>
        </w:rPr>
        <w:t>AV</w:t>
      </w:r>
      <w:r w:rsidRPr="008D79F8">
        <w:rPr>
          <w:rFonts w:asciiTheme="minorHAnsi" w:hAnsiTheme="minorHAnsi"/>
          <w:sz w:val="22"/>
          <w:szCs w:val="22"/>
        </w:rPr>
        <w:t>, Malaty IA, LeWitt PA, et al. A systematic review of the Parkinson</w:t>
      </w:r>
      <w:r w:rsidR="003663F4">
        <w:rPr>
          <w:rFonts w:asciiTheme="minorHAnsi" w:hAnsiTheme="minorHAnsi"/>
          <w:sz w:val="22"/>
          <w:szCs w:val="22"/>
        </w:rPr>
        <w:t>’</w:t>
      </w:r>
      <w:r w:rsidRPr="008D79F8">
        <w:rPr>
          <w:rFonts w:asciiTheme="minorHAnsi" w:hAnsiTheme="minorHAnsi"/>
          <w:sz w:val="22"/>
          <w:szCs w:val="22"/>
        </w:rPr>
        <w:t xml:space="preserve">s Foundation hospital care recommendations. </w:t>
      </w:r>
      <w:r w:rsidRPr="00510753">
        <w:rPr>
          <w:rFonts w:asciiTheme="minorHAnsi" w:hAnsiTheme="minorHAnsi"/>
          <w:i/>
          <w:iCs/>
          <w:sz w:val="22"/>
          <w:szCs w:val="22"/>
        </w:rPr>
        <w:t xml:space="preserve">Mov </w:t>
      </w:r>
      <w:proofErr w:type="spellStart"/>
      <w:r w:rsidRPr="00510753">
        <w:rPr>
          <w:rFonts w:asciiTheme="minorHAnsi" w:hAnsiTheme="minorHAnsi"/>
          <w:i/>
          <w:iCs/>
          <w:sz w:val="22"/>
          <w:szCs w:val="22"/>
        </w:rPr>
        <w:t>Disord</w:t>
      </w:r>
      <w:proofErr w:type="spellEnd"/>
      <w:r w:rsidRPr="00510753">
        <w:rPr>
          <w:rFonts w:asciiTheme="minorHAnsi" w:hAnsiTheme="minorHAnsi"/>
          <w:i/>
          <w:iCs/>
          <w:sz w:val="22"/>
          <w:szCs w:val="22"/>
        </w:rPr>
        <w:t xml:space="preserve"> Clin </w:t>
      </w:r>
      <w:proofErr w:type="spellStart"/>
      <w:r w:rsidRPr="00510753">
        <w:rPr>
          <w:rFonts w:asciiTheme="minorHAnsi" w:hAnsiTheme="minorHAnsi"/>
          <w:i/>
          <w:iCs/>
          <w:sz w:val="22"/>
          <w:szCs w:val="22"/>
        </w:rPr>
        <w:t>Pract</w:t>
      </w:r>
      <w:proofErr w:type="spellEnd"/>
      <w:r w:rsidRPr="008D79F8">
        <w:rPr>
          <w:rFonts w:asciiTheme="minorHAnsi" w:hAnsiTheme="minorHAnsi"/>
          <w:sz w:val="22"/>
          <w:szCs w:val="22"/>
        </w:rPr>
        <w:t>. 2026;13(1):29-43. doi:10.1002/mdc3.70247</w:t>
      </w:r>
    </w:p>
    <w:p w14:paraId="5F92C0B6" w14:textId="38CCD0BB" w:rsidR="00043419" w:rsidRPr="008D79F8" w:rsidRDefault="00043419" w:rsidP="00043419">
      <w:pPr>
        <w:pStyle w:val="NormalWeb"/>
        <w:numPr>
          <w:ilvl w:val="0"/>
          <w:numId w:val="3"/>
        </w:numPr>
        <w:shd w:val="clear" w:color="auto" w:fill="FFFFFF"/>
        <w:spacing w:before="0" w:beforeAutospacing="0" w:after="0" w:afterAutospacing="0"/>
        <w:rPr>
          <w:rFonts w:asciiTheme="minorHAnsi" w:hAnsiTheme="minorHAnsi" w:cs="Calibri"/>
          <w:sz w:val="22"/>
          <w:szCs w:val="22"/>
        </w:rPr>
      </w:pPr>
      <w:r w:rsidRPr="008D79F8">
        <w:rPr>
          <w:rFonts w:asciiTheme="minorHAnsi" w:hAnsiTheme="minorHAnsi"/>
          <w:sz w:val="22"/>
          <w:szCs w:val="22"/>
        </w:rPr>
        <w:t xml:space="preserve">Cohen MR, Smetzer JL. Delayed administration and contraindicated drugs place hospitalized </w:t>
      </w:r>
      <w:r w:rsidR="003663F4" w:rsidRPr="008D79F8">
        <w:rPr>
          <w:rFonts w:asciiTheme="minorHAnsi" w:hAnsiTheme="minorHAnsi"/>
          <w:sz w:val="22"/>
          <w:szCs w:val="22"/>
        </w:rPr>
        <w:t>Parkinson</w:t>
      </w:r>
      <w:r w:rsidR="003663F4">
        <w:rPr>
          <w:rFonts w:asciiTheme="minorHAnsi" w:hAnsiTheme="minorHAnsi"/>
          <w:sz w:val="22"/>
          <w:szCs w:val="22"/>
        </w:rPr>
        <w:t>’</w:t>
      </w:r>
      <w:r w:rsidR="003663F4" w:rsidRPr="008D79F8">
        <w:rPr>
          <w:rFonts w:asciiTheme="minorHAnsi" w:hAnsiTheme="minorHAnsi"/>
          <w:sz w:val="22"/>
          <w:szCs w:val="22"/>
        </w:rPr>
        <w:t xml:space="preserve">s </w:t>
      </w:r>
      <w:r w:rsidRPr="008D79F8">
        <w:rPr>
          <w:rFonts w:asciiTheme="minorHAnsi" w:hAnsiTheme="minorHAnsi"/>
          <w:sz w:val="22"/>
          <w:szCs w:val="22"/>
        </w:rPr>
        <w:t xml:space="preserve">disease patients at risk; doxorubicin liposomal mix-up; avoid mix-ups between hydroxyprogesterone and medroxyprogesterone. </w:t>
      </w:r>
      <w:r w:rsidRPr="00510753">
        <w:rPr>
          <w:rFonts w:asciiTheme="minorHAnsi" w:hAnsiTheme="minorHAnsi"/>
          <w:i/>
          <w:iCs/>
          <w:sz w:val="22"/>
          <w:szCs w:val="22"/>
        </w:rPr>
        <w:t>Hosp Pharm</w:t>
      </w:r>
      <w:r w:rsidRPr="008D79F8">
        <w:rPr>
          <w:rFonts w:asciiTheme="minorHAnsi" w:hAnsiTheme="minorHAnsi"/>
          <w:sz w:val="22"/>
          <w:szCs w:val="22"/>
        </w:rPr>
        <w:t>. 2015;50(7):559-563. doi:10.1310/hpj5007-559</w:t>
      </w:r>
    </w:p>
    <w:p w14:paraId="36DED70F" w14:textId="0AA41704" w:rsidR="00430D43" w:rsidRPr="008D79F8" w:rsidRDefault="003663F4" w:rsidP="00430D43">
      <w:pPr>
        <w:pStyle w:val="ListParagraph"/>
        <w:numPr>
          <w:ilvl w:val="0"/>
          <w:numId w:val="3"/>
        </w:numPr>
        <w:rPr>
          <w:color w:val="000000" w:themeColor="text1"/>
          <w:sz w:val="22"/>
          <w:szCs w:val="22"/>
        </w:rPr>
      </w:pPr>
      <w:r w:rsidRPr="008D79F8">
        <w:rPr>
          <w:sz w:val="22"/>
          <w:szCs w:val="22"/>
        </w:rPr>
        <w:t>Parkinson</w:t>
      </w:r>
      <w:r>
        <w:rPr>
          <w:sz w:val="22"/>
          <w:szCs w:val="22"/>
        </w:rPr>
        <w:t>’</w:t>
      </w:r>
      <w:r w:rsidRPr="008D79F8">
        <w:rPr>
          <w:sz w:val="22"/>
          <w:szCs w:val="22"/>
        </w:rPr>
        <w:t xml:space="preserve">s </w:t>
      </w:r>
      <w:r w:rsidR="00430D43" w:rsidRPr="008D79F8">
        <w:rPr>
          <w:sz w:val="22"/>
          <w:szCs w:val="22"/>
        </w:rPr>
        <w:t xml:space="preserve">Foundation. </w:t>
      </w:r>
      <w:r w:rsidRPr="008D79F8">
        <w:rPr>
          <w:sz w:val="22"/>
          <w:szCs w:val="22"/>
        </w:rPr>
        <w:t>Parkinson</w:t>
      </w:r>
      <w:r>
        <w:rPr>
          <w:sz w:val="22"/>
          <w:szCs w:val="22"/>
        </w:rPr>
        <w:t>’</w:t>
      </w:r>
      <w:r w:rsidRPr="008D79F8">
        <w:rPr>
          <w:sz w:val="22"/>
          <w:szCs w:val="22"/>
        </w:rPr>
        <w:t xml:space="preserve">s </w:t>
      </w:r>
      <w:r w:rsidR="00430D43" w:rsidRPr="008D79F8">
        <w:rPr>
          <w:sz w:val="22"/>
          <w:szCs w:val="22"/>
        </w:rPr>
        <w:t xml:space="preserve">Foundation Hospital Care Recommendations. April 2023. Accessed </w:t>
      </w:r>
      <w:r>
        <w:rPr>
          <w:sz w:val="22"/>
          <w:szCs w:val="22"/>
        </w:rPr>
        <w:t>October 21, 2026</w:t>
      </w:r>
      <w:r w:rsidR="00430D43" w:rsidRPr="008D79F8">
        <w:rPr>
          <w:sz w:val="22"/>
          <w:szCs w:val="22"/>
        </w:rPr>
        <w:t>. https://www.parkinson.org/sites/default/files/documents/hospital-care-recommendations-april2023.pdf</w:t>
      </w:r>
    </w:p>
    <w:p w14:paraId="23CE8B72" w14:textId="4F145820" w:rsidR="00430D43" w:rsidRPr="008D79F8" w:rsidRDefault="003663F4" w:rsidP="00430D43">
      <w:pPr>
        <w:pStyle w:val="ListParagraph"/>
        <w:numPr>
          <w:ilvl w:val="0"/>
          <w:numId w:val="3"/>
        </w:numPr>
        <w:rPr>
          <w:color w:val="000000" w:themeColor="text1"/>
          <w:sz w:val="22"/>
          <w:szCs w:val="22"/>
        </w:rPr>
      </w:pPr>
      <w:r w:rsidRPr="008D79F8">
        <w:rPr>
          <w:sz w:val="22"/>
          <w:szCs w:val="22"/>
        </w:rPr>
        <w:t>Parkinson</w:t>
      </w:r>
      <w:r>
        <w:rPr>
          <w:sz w:val="22"/>
          <w:szCs w:val="22"/>
        </w:rPr>
        <w:t>’</w:t>
      </w:r>
      <w:r w:rsidRPr="008D79F8">
        <w:rPr>
          <w:sz w:val="22"/>
          <w:szCs w:val="22"/>
        </w:rPr>
        <w:t xml:space="preserve">s </w:t>
      </w:r>
      <w:r w:rsidR="00430D43" w:rsidRPr="008D79F8">
        <w:rPr>
          <w:sz w:val="22"/>
          <w:szCs w:val="22"/>
        </w:rPr>
        <w:t xml:space="preserve">Foundation. Making Hospitals Safer for People with </w:t>
      </w:r>
      <w:r w:rsidRPr="008D79F8">
        <w:rPr>
          <w:sz w:val="22"/>
          <w:szCs w:val="22"/>
        </w:rPr>
        <w:t>Parkinson</w:t>
      </w:r>
      <w:r>
        <w:rPr>
          <w:sz w:val="22"/>
          <w:szCs w:val="22"/>
        </w:rPr>
        <w:t>’</w:t>
      </w:r>
      <w:r w:rsidRPr="008D79F8">
        <w:rPr>
          <w:sz w:val="22"/>
          <w:szCs w:val="22"/>
        </w:rPr>
        <w:t xml:space="preserve">s </w:t>
      </w:r>
      <w:r w:rsidR="00430D43" w:rsidRPr="008D79F8">
        <w:rPr>
          <w:sz w:val="22"/>
          <w:szCs w:val="22"/>
        </w:rPr>
        <w:t xml:space="preserve">Disease. </w:t>
      </w:r>
      <w:r w:rsidR="00430D43">
        <w:rPr>
          <w:sz w:val="22"/>
          <w:szCs w:val="22"/>
        </w:rPr>
        <w:t xml:space="preserve">April </w:t>
      </w:r>
      <w:r w:rsidR="00430D43" w:rsidRPr="008D79F8">
        <w:rPr>
          <w:sz w:val="22"/>
          <w:szCs w:val="22"/>
        </w:rPr>
        <w:t xml:space="preserve">2022. Accessed </w:t>
      </w:r>
      <w:r>
        <w:rPr>
          <w:sz w:val="22"/>
          <w:szCs w:val="22"/>
        </w:rPr>
        <w:t>October 21</w:t>
      </w:r>
      <w:r w:rsidR="00430D43" w:rsidRPr="008D79F8">
        <w:rPr>
          <w:sz w:val="22"/>
          <w:szCs w:val="22"/>
        </w:rPr>
        <w:t>, 2026. https://www.parkinson.org/sites/default/files/documents/hospital-care-report-april-2022.pdf</w:t>
      </w:r>
    </w:p>
    <w:p w14:paraId="7AAD29BE" w14:textId="53CB6655" w:rsidR="00430D43" w:rsidRPr="008D79F8" w:rsidRDefault="00430D43" w:rsidP="00430D43">
      <w:pPr>
        <w:pStyle w:val="ListParagraph"/>
        <w:numPr>
          <w:ilvl w:val="0"/>
          <w:numId w:val="3"/>
        </w:numPr>
        <w:rPr>
          <w:color w:val="000000" w:themeColor="text1"/>
          <w:sz w:val="22"/>
          <w:szCs w:val="22"/>
        </w:rPr>
      </w:pPr>
      <w:r w:rsidRPr="008D79F8">
        <w:rPr>
          <w:sz w:val="22"/>
          <w:szCs w:val="22"/>
        </w:rPr>
        <w:t xml:space="preserve">Pronovost P, Pelton LJ, Azmi H, </w:t>
      </w:r>
      <w:r>
        <w:rPr>
          <w:sz w:val="22"/>
          <w:szCs w:val="22"/>
        </w:rPr>
        <w:t>et al</w:t>
      </w:r>
      <w:r w:rsidRPr="008D79F8">
        <w:rPr>
          <w:sz w:val="22"/>
          <w:szCs w:val="22"/>
        </w:rPr>
        <w:t xml:space="preserve">. Advancing </w:t>
      </w:r>
      <w:r w:rsidR="00F233A2" w:rsidRPr="008D79F8">
        <w:rPr>
          <w:sz w:val="22"/>
          <w:szCs w:val="22"/>
        </w:rPr>
        <w:t>Parkinson</w:t>
      </w:r>
      <w:r w:rsidR="00F233A2">
        <w:rPr>
          <w:sz w:val="22"/>
          <w:szCs w:val="22"/>
        </w:rPr>
        <w:t>’</w:t>
      </w:r>
      <w:r w:rsidR="00F233A2" w:rsidRPr="008D79F8">
        <w:rPr>
          <w:sz w:val="22"/>
          <w:szCs w:val="22"/>
        </w:rPr>
        <w:t xml:space="preserve">s </w:t>
      </w:r>
      <w:r w:rsidRPr="008D79F8">
        <w:rPr>
          <w:sz w:val="22"/>
          <w:szCs w:val="22"/>
        </w:rPr>
        <w:t xml:space="preserve">care and patient safety through </w:t>
      </w:r>
      <w:r w:rsidR="003663F4" w:rsidRPr="008D79F8">
        <w:rPr>
          <w:sz w:val="22"/>
          <w:szCs w:val="22"/>
        </w:rPr>
        <w:t>CMS</w:t>
      </w:r>
      <w:r w:rsidR="003663F4">
        <w:rPr>
          <w:sz w:val="22"/>
          <w:szCs w:val="22"/>
        </w:rPr>
        <w:t>’</w:t>
      </w:r>
      <w:r w:rsidR="003663F4" w:rsidRPr="008D79F8">
        <w:rPr>
          <w:sz w:val="22"/>
          <w:szCs w:val="22"/>
        </w:rPr>
        <w:t xml:space="preserve">s </w:t>
      </w:r>
      <w:r w:rsidRPr="008D79F8">
        <w:rPr>
          <w:sz w:val="22"/>
          <w:szCs w:val="22"/>
        </w:rPr>
        <w:t xml:space="preserve">Age-Friendly Hospital Measure. </w:t>
      </w:r>
      <w:proofErr w:type="spellStart"/>
      <w:r w:rsidRPr="00510753">
        <w:rPr>
          <w:i/>
          <w:iCs/>
          <w:sz w:val="22"/>
          <w:szCs w:val="22"/>
        </w:rPr>
        <w:t>Jt</w:t>
      </w:r>
      <w:proofErr w:type="spellEnd"/>
      <w:r w:rsidRPr="00510753">
        <w:rPr>
          <w:i/>
          <w:iCs/>
          <w:sz w:val="22"/>
          <w:szCs w:val="22"/>
        </w:rPr>
        <w:t xml:space="preserve"> Comm J Qual Patient Saf</w:t>
      </w:r>
      <w:r w:rsidRPr="008D79F8">
        <w:rPr>
          <w:sz w:val="22"/>
          <w:szCs w:val="22"/>
        </w:rPr>
        <w:t>. 2025;51(12):772-777. doi:10.1016/j.jcjq.2025.09.005</w:t>
      </w:r>
    </w:p>
    <w:p w14:paraId="3E10D8B7" w14:textId="3D21A638" w:rsidR="00430D43" w:rsidRPr="008D79F8" w:rsidRDefault="00430D43" w:rsidP="00430D43">
      <w:pPr>
        <w:pStyle w:val="ListParagraph"/>
        <w:numPr>
          <w:ilvl w:val="0"/>
          <w:numId w:val="3"/>
        </w:numPr>
        <w:rPr>
          <w:color w:val="000000" w:themeColor="text1"/>
          <w:sz w:val="22"/>
          <w:szCs w:val="22"/>
        </w:rPr>
      </w:pPr>
      <w:r w:rsidRPr="008D79F8">
        <w:rPr>
          <w:sz w:val="22"/>
          <w:szCs w:val="22"/>
        </w:rPr>
        <w:t xml:space="preserve">Fisher J, Scott C. Reducing delays in time-critical medications for </w:t>
      </w:r>
      <w:r w:rsidR="00F233A2" w:rsidRPr="008D79F8">
        <w:rPr>
          <w:sz w:val="22"/>
          <w:szCs w:val="22"/>
        </w:rPr>
        <w:t>Parkinson</w:t>
      </w:r>
      <w:r w:rsidR="00F233A2">
        <w:rPr>
          <w:sz w:val="22"/>
          <w:szCs w:val="22"/>
        </w:rPr>
        <w:t>’</w:t>
      </w:r>
      <w:r w:rsidR="00F233A2" w:rsidRPr="008D79F8">
        <w:rPr>
          <w:sz w:val="22"/>
          <w:szCs w:val="22"/>
        </w:rPr>
        <w:t xml:space="preserve">s </w:t>
      </w:r>
      <w:r w:rsidRPr="008D79F8">
        <w:rPr>
          <w:sz w:val="22"/>
          <w:szCs w:val="22"/>
        </w:rPr>
        <w:t xml:space="preserve">disease: a multifaceted, multiprofessional quality improvement project. </w:t>
      </w:r>
      <w:r w:rsidRPr="00510753">
        <w:rPr>
          <w:i/>
          <w:iCs/>
          <w:sz w:val="22"/>
          <w:szCs w:val="22"/>
        </w:rPr>
        <w:t>BMJ Open Qual</w:t>
      </w:r>
      <w:r w:rsidRPr="008D79F8">
        <w:rPr>
          <w:sz w:val="22"/>
          <w:szCs w:val="22"/>
        </w:rPr>
        <w:t>. 2026;15(1):e003715. doi:10.1136/bmjoq-2025-003715</w:t>
      </w:r>
    </w:p>
    <w:p w14:paraId="3121E084" w14:textId="4EF275EE" w:rsidR="00430D43" w:rsidRPr="00510753" w:rsidRDefault="00430D43" w:rsidP="00430D43">
      <w:pPr>
        <w:pStyle w:val="ListParagraph"/>
        <w:numPr>
          <w:ilvl w:val="0"/>
          <w:numId w:val="3"/>
        </w:numPr>
        <w:rPr>
          <w:color w:val="000000" w:themeColor="text1"/>
          <w:sz w:val="22"/>
          <w:szCs w:val="22"/>
        </w:rPr>
      </w:pPr>
      <w:r w:rsidRPr="008D79F8">
        <w:rPr>
          <w:sz w:val="22"/>
          <w:szCs w:val="22"/>
        </w:rPr>
        <w:t xml:space="preserve">Yu JRT, Sokola BS, Walter BL. Optimization of inpatient medication administration among persons with </w:t>
      </w:r>
      <w:r w:rsidR="00F233A2" w:rsidRPr="008D79F8">
        <w:rPr>
          <w:sz w:val="22"/>
          <w:szCs w:val="22"/>
        </w:rPr>
        <w:t>Parkinson</w:t>
      </w:r>
      <w:r w:rsidR="00F233A2">
        <w:rPr>
          <w:sz w:val="22"/>
          <w:szCs w:val="22"/>
        </w:rPr>
        <w:t>’</w:t>
      </w:r>
      <w:r w:rsidR="00F233A2" w:rsidRPr="008D79F8">
        <w:rPr>
          <w:sz w:val="22"/>
          <w:szCs w:val="22"/>
        </w:rPr>
        <w:t xml:space="preserve">s </w:t>
      </w:r>
      <w:r w:rsidRPr="008D79F8">
        <w:rPr>
          <w:sz w:val="22"/>
          <w:szCs w:val="22"/>
        </w:rPr>
        <w:t xml:space="preserve">disease: recommendations on pharmacy technology and workflow. </w:t>
      </w:r>
      <w:r w:rsidRPr="00510753">
        <w:rPr>
          <w:i/>
          <w:iCs/>
          <w:sz w:val="22"/>
          <w:szCs w:val="22"/>
        </w:rPr>
        <w:t xml:space="preserve">Front </w:t>
      </w:r>
      <w:proofErr w:type="spellStart"/>
      <w:r w:rsidRPr="00510753">
        <w:rPr>
          <w:i/>
          <w:iCs/>
          <w:sz w:val="22"/>
          <w:szCs w:val="22"/>
        </w:rPr>
        <w:t>Pharmacol</w:t>
      </w:r>
      <w:proofErr w:type="spellEnd"/>
      <w:r w:rsidRPr="008D79F8">
        <w:rPr>
          <w:sz w:val="22"/>
          <w:szCs w:val="22"/>
        </w:rPr>
        <w:t>. 2023;14:1254757. doi:10.3389/fphar.2023.1254757</w:t>
      </w:r>
    </w:p>
    <w:p w14:paraId="1A12DED7" w14:textId="46A2FF28" w:rsidR="008819B6" w:rsidRPr="00510753" w:rsidRDefault="008819B6" w:rsidP="00510753">
      <w:pPr>
        <w:pStyle w:val="ListParagraph"/>
        <w:numPr>
          <w:ilvl w:val="0"/>
          <w:numId w:val="3"/>
        </w:numPr>
        <w:rPr>
          <w:rFonts w:cs="Calibri"/>
          <w:sz w:val="22"/>
          <w:szCs w:val="22"/>
        </w:rPr>
      </w:pPr>
      <w:r w:rsidRPr="00510753">
        <w:rPr>
          <w:sz w:val="22"/>
          <w:szCs w:val="22"/>
        </w:rPr>
        <w:t xml:space="preserve">Coleman C, Smiley A, Rosenfeld S, Brooks A. Improving recognition and management of inpatient delirium in </w:t>
      </w:r>
      <w:r w:rsidR="00F233A2" w:rsidRPr="00510753">
        <w:rPr>
          <w:sz w:val="22"/>
          <w:szCs w:val="22"/>
        </w:rPr>
        <w:t>Parkinson</w:t>
      </w:r>
      <w:r w:rsidR="00F233A2">
        <w:rPr>
          <w:sz w:val="22"/>
          <w:szCs w:val="22"/>
        </w:rPr>
        <w:t>’</w:t>
      </w:r>
      <w:r w:rsidR="00F233A2" w:rsidRPr="00510753">
        <w:rPr>
          <w:sz w:val="22"/>
          <w:szCs w:val="22"/>
        </w:rPr>
        <w:t xml:space="preserve">s </w:t>
      </w:r>
      <w:r w:rsidRPr="00510753">
        <w:rPr>
          <w:sz w:val="22"/>
          <w:szCs w:val="22"/>
        </w:rPr>
        <w:t xml:space="preserve">disease: evidence review and implications for clinical care. </w:t>
      </w:r>
      <w:r w:rsidRPr="00510753">
        <w:rPr>
          <w:i/>
          <w:iCs/>
          <w:sz w:val="22"/>
          <w:szCs w:val="22"/>
        </w:rPr>
        <w:t xml:space="preserve">Front Aging </w:t>
      </w:r>
      <w:proofErr w:type="spellStart"/>
      <w:r w:rsidRPr="00510753">
        <w:rPr>
          <w:i/>
          <w:iCs/>
          <w:sz w:val="22"/>
          <w:szCs w:val="22"/>
        </w:rPr>
        <w:t>Neurosci</w:t>
      </w:r>
      <w:proofErr w:type="spellEnd"/>
      <w:r w:rsidRPr="00510753">
        <w:rPr>
          <w:sz w:val="22"/>
          <w:szCs w:val="22"/>
        </w:rPr>
        <w:t>. 2025;17:1693827. doi:10.3389/fnagi.2025.1693827</w:t>
      </w:r>
    </w:p>
    <w:p w14:paraId="648F80D2" w14:textId="7F85CD8C" w:rsidR="00430D43" w:rsidRPr="008D79F8" w:rsidRDefault="00F233A2" w:rsidP="00430D43">
      <w:pPr>
        <w:pStyle w:val="ListParagraph"/>
        <w:numPr>
          <w:ilvl w:val="0"/>
          <w:numId w:val="3"/>
        </w:numPr>
        <w:rPr>
          <w:color w:val="000000" w:themeColor="text1"/>
          <w:sz w:val="22"/>
          <w:szCs w:val="22"/>
        </w:rPr>
      </w:pPr>
      <w:r w:rsidRPr="008D79F8">
        <w:rPr>
          <w:sz w:val="22"/>
          <w:szCs w:val="22"/>
        </w:rPr>
        <w:t>Parkinson</w:t>
      </w:r>
      <w:r>
        <w:rPr>
          <w:sz w:val="22"/>
          <w:szCs w:val="22"/>
        </w:rPr>
        <w:t>’</w:t>
      </w:r>
      <w:r w:rsidRPr="008D79F8">
        <w:rPr>
          <w:sz w:val="22"/>
          <w:szCs w:val="22"/>
        </w:rPr>
        <w:t xml:space="preserve">s </w:t>
      </w:r>
      <w:r w:rsidR="00430D43" w:rsidRPr="008D79F8">
        <w:rPr>
          <w:sz w:val="22"/>
          <w:szCs w:val="22"/>
        </w:rPr>
        <w:t xml:space="preserve">Foundation. </w:t>
      </w:r>
      <w:r w:rsidRPr="008D79F8">
        <w:rPr>
          <w:sz w:val="22"/>
          <w:szCs w:val="22"/>
        </w:rPr>
        <w:t>Parkinson</w:t>
      </w:r>
      <w:r>
        <w:rPr>
          <w:sz w:val="22"/>
          <w:szCs w:val="22"/>
        </w:rPr>
        <w:t>’</w:t>
      </w:r>
      <w:r w:rsidRPr="008D79F8">
        <w:rPr>
          <w:sz w:val="22"/>
          <w:szCs w:val="22"/>
        </w:rPr>
        <w:t xml:space="preserve">s </w:t>
      </w:r>
      <w:r w:rsidR="00430D43" w:rsidRPr="008D79F8">
        <w:rPr>
          <w:sz w:val="22"/>
          <w:szCs w:val="22"/>
        </w:rPr>
        <w:t xml:space="preserve">Care Summary for Health Professionals. March 2025. Accessed </w:t>
      </w:r>
      <w:r>
        <w:rPr>
          <w:sz w:val="22"/>
          <w:szCs w:val="22"/>
        </w:rPr>
        <w:t>October 21</w:t>
      </w:r>
      <w:r w:rsidR="00430D43" w:rsidRPr="008D79F8">
        <w:rPr>
          <w:sz w:val="22"/>
          <w:szCs w:val="22"/>
        </w:rPr>
        <w:t>, 2026. https://www.parkinson.org/sites/default/files/documents/care-summary-health-prof-2025.pdf</w:t>
      </w:r>
    </w:p>
    <w:p w14:paraId="2E20B5C2" w14:textId="4B2B812C" w:rsidR="00430D43" w:rsidRPr="00510753" w:rsidRDefault="00430D43" w:rsidP="00430D43">
      <w:pPr>
        <w:pStyle w:val="ListParagraph"/>
        <w:numPr>
          <w:ilvl w:val="0"/>
          <w:numId w:val="3"/>
        </w:numPr>
        <w:rPr>
          <w:color w:val="000000" w:themeColor="text1"/>
          <w:sz w:val="22"/>
          <w:szCs w:val="22"/>
        </w:rPr>
      </w:pPr>
      <w:r w:rsidRPr="008D79F8">
        <w:rPr>
          <w:sz w:val="22"/>
          <w:szCs w:val="22"/>
        </w:rPr>
        <w:t xml:space="preserve">Safarpour D, Brooks A, Smiley A, et al. Consensus expert recommendations for management of dysphagia during hospital admission in </w:t>
      </w:r>
      <w:r w:rsidR="00F233A2" w:rsidRPr="008D79F8">
        <w:rPr>
          <w:sz w:val="22"/>
          <w:szCs w:val="22"/>
        </w:rPr>
        <w:t>Parkinson</w:t>
      </w:r>
      <w:r w:rsidR="00F233A2">
        <w:rPr>
          <w:sz w:val="22"/>
          <w:szCs w:val="22"/>
        </w:rPr>
        <w:t>’</w:t>
      </w:r>
      <w:r w:rsidR="00F233A2" w:rsidRPr="008D79F8">
        <w:rPr>
          <w:sz w:val="22"/>
          <w:szCs w:val="22"/>
        </w:rPr>
        <w:t xml:space="preserve">s </w:t>
      </w:r>
      <w:r w:rsidRPr="008D79F8">
        <w:rPr>
          <w:sz w:val="22"/>
          <w:szCs w:val="22"/>
        </w:rPr>
        <w:t xml:space="preserve">disease. </w:t>
      </w:r>
      <w:r w:rsidRPr="00510753">
        <w:rPr>
          <w:i/>
          <w:iCs/>
          <w:sz w:val="22"/>
          <w:szCs w:val="22"/>
        </w:rPr>
        <w:t>J Parkinsons Dis</w:t>
      </w:r>
      <w:r w:rsidRPr="008D79F8">
        <w:rPr>
          <w:sz w:val="22"/>
          <w:szCs w:val="22"/>
        </w:rPr>
        <w:t>. 2026;16(1):16-35. doi:10.1177/1877718X251410503</w:t>
      </w:r>
    </w:p>
    <w:p w14:paraId="79CA8EBB" w14:textId="00DDB8D8" w:rsidR="00990805" w:rsidRPr="008D79F8" w:rsidRDefault="00990805" w:rsidP="00430D43">
      <w:pPr>
        <w:pStyle w:val="ListParagraph"/>
        <w:numPr>
          <w:ilvl w:val="0"/>
          <w:numId w:val="3"/>
        </w:numPr>
        <w:rPr>
          <w:color w:val="000000" w:themeColor="text1"/>
          <w:sz w:val="22"/>
          <w:szCs w:val="22"/>
        </w:rPr>
      </w:pPr>
      <w:r>
        <w:rPr>
          <w:sz w:val="22"/>
          <w:szCs w:val="22"/>
        </w:rPr>
        <w:t xml:space="preserve">Parkinson’s Foundation. Parkinson’s </w:t>
      </w:r>
      <w:r w:rsidR="00F233A2">
        <w:rPr>
          <w:sz w:val="22"/>
          <w:szCs w:val="22"/>
        </w:rPr>
        <w:t xml:space="preserve">Disease </w:t>
      </w:r>
      <w:r>
        <w:rPr>
          <w:sz w:val="22"/>
          <w:szCs w:val="22"/>
        </w:rPr>
        <w:t xml:space="preserve">in the </w:t>
      </w:r>
      <w:r w:rsidR="00F233A2">
        <w:rPr>
          <w:sz w:val="22"/>
          <w:szCs w:val="22"/>
        </w:rPr>
        <w:t>Emergency Department Toolkit</w:t>
      </w:r>
      <w:r>
        <w:rPr>
          <w:sz w:val="22"/>
          <w:szCs w:val="22"/>
        </w:rPr>
        <w:t xml:space="preserve">. March 2026. Accessed </w:t>
      </w:r>
      <w:r w:rsidR="00F233A2">
        <w:rPr>
          <w:sz w:val="22"/>
          <w:szCs w:val="22"/>
        </w:rPr>
        <w:t>October 21</w:t>
      </w:r>
      <w:r>
        <w:rPr>
          <w:sz w:val="22"/>
          <w:szCs w:val="22"/>
        </w:rPr>
        <w:t xml:space="preserve">, 2026. </w:t>
      </w:r>
      <w:r w:rsidRPr="00990805">
        <w:rPr>
          <w:sz w:val="22"/>
          <w:szCs w:val="22"/>
        </w:rPr>
        <w:t>https://www.parkinson.org/sites/default/files/documents/PD-Emergency-Department-Toolkit-0326.pdf</w:t>
      </w:r>
      <w:r>
        <w:rPr>
          <w:sz w:val="22"/>
          <w:szCs w:val="22"/>
        </w:rPr>
        <w:t xml:space="preserve"> </w:t>
      </w:r>
    </w:p>
    <w:p w14:paraId="6AA14E12" w14:textId="4F5D591B" w:rsidR="00043419" w:rsidRPr="008D79F8" w:rsidRDefault="008B07E3" w:rsidP="00043419">
      <w:pPr>
        <w:pStyle w:val="ListParagraph"/>
        <w:numPr>
          <w:ilvl w:val="0"/>
          <w:numId w:val="3"/>
        </w:numPr>
        <w:rPr>
          <w:color w:val="000000" w:themeColor="text1"/>
          <w:sz w:val="22"/>
          <w:szCs w:val="22"/>
        </w:rPr>
      </w:pPr>
      <w:r w:rsidRPr="008D79F8">
        <w:rPr>
          <w:sz w:val="22"/>
          <w:szCs w:val="22"/>
        </w:rPr>
        <w:t>Parkinson</w:t>
      </w:r>
      <w:r>
        <w:rPr>
          <w:sz w:val="22"/>
          <w:szCs w:val="22"/>
        </w:rPr>
        <w:t>’</w:t>
      </w:r>
      <w:r w:rsidRPr="008D79F8">
        <w:rPr>
          <w:sz w:val="22"/>
          <w:szCs w:val="22"/>
        </w:rPr>
        <w:t xml:space="preserve">s </w:t>
      </w:r>
      <w:r w:rsidR="00043419" w:rsidRPr="008D79F8">
        <w:rPr>
          <w:sz w:val="22"/>
          <w:szCs w:val="22"/>
        </w:rPr>
        <w:t xml:space="preserve">Foundation. Hospital Safety Guide. </w:t>
      </w:r>
      <w:r w:rsidR="00430D43">
        <w:rPr>
          <w:sz w:val="22"/>
          <w:szCs w:val="22"/>
        </w:rPr>
        <w:t xml:space="preserve">April 2026. </w:t>
      </w:r>
      <w:r w:rsidR="00043419" w:rsidRPr="008D79F8">
        <w:rPr>
          <w:sz w:val="22"/>
          <w:szCs w:val="22"/>
        </w:rPr>
        <w:t xml:space="preserve">Accessed </w:t>
      </w:r>
      <w:r w:rsidR="00F233A2">
        <w:rPr>
          <w:sz w:val="22"/>
          <w:szCs w:val="22"/>
        </w:rPr>
        <w:t>October 21</w:t>
      </w:r>
      <w:r w:rsidR="00043419" w:rsidRPr="008D79F8">
        <w:rPr>
          <w:sz w:val="22"/>
          <w:szCs w:val="22"/>
        </w:rPr>
        <w:t>, 2026. https://www.parkinson.org/resources-support/hospital-safety-guide</w:t>
      </w:r>
    </w:p>
    <w:p w14:paraId="2A836721" w14:textId="17F2B9B1" w:rsidR="003042A5" w:rsidRPr="008D79F8" w:rsidRDefault="003042A5" w:rsidP="007E1F60">
      <w:pPr>
        <w:pStyle w:val="ListParagraph"/>
        <w:numPr>
          <w:ilvl w:val="0"/>
          <w:numId w:val="3"/>
        </w:numPr>
        <w:rPr>
          <w:color w:val="000000" w:themeColor="text1"/>
          <w:sz w:val="22"/>
          <w:szCs w:val="22"/>
        </w:rPr>
      </w:pPr>
      <w:r w:rsidRPr="008D79F8">
        <w:rPr>
          <w:sz w:val="22"/>
          <w:szCs w:val="22"/>
        </w:rPr>
        <w:t>Salgado-Cámara P, De la Casa-Fages B, Sánchez-</w:t>
      </w:r>
      <w:proofErr w:type="spellStart"/>
      <w:r w:rsidRPr="008D79F8">
        <w:rPr>
          <w:sz w:val="22"/>
          <w:szCs w:val="22"/>
        </w:rPr>
        <w:t>Soblechero</w:t>
      </w:r>
      <w:proofErr w:type="spellEnd"/>
      <w:r w:rsidRPr="008D79F8">
        <w:rPr>
          <w:sz w:val="22"/>
          <w:szCs w:val="22"/>
        </w:rPr>
        <w:t xml:space="preserve"> A, Mateo Sierra O, Martín-Barbero ML, </w:t>
      </w:r>
      <w:proofErr w:type="spellStart"/>
      <w:r w:rsidRPr="008D79F8">
        <w:rPr>
          <w:sz w:val="22"/>
          <w:szCs w:val="22"/>
        </w:rPr>
        <w:t>Grandas</w:t>
      </w:r>
      <w:proofErr w:type="spellEnd"/>
      <w:r w:rsidRPr="008D79F8">
        <w:rPr>
          <w:sz w:val="22"/>
          <w:szCs w:val="22"/>
        </w:rPr>
        <w:t xml:space="preserve"> F. Impact of a perioperative protocol for </w:t>
      </w:r>
      <w:r w:rsidR="008B07E3" w:rsidRPr="008D79F8">
        <w:rPr>
          <w:sz w:val="22"/>
          <w:szCs w:val="22"/>
        </w:rPr>
        <w:t>Parkinson</w:t>
      </w:r>
      <w:r w:rsidR="008B07E3">
        <w:rPr>
          <w:sz w:val="22"/>
          <w:szCs w:val="22"/>
        </w:rPr>
        <w:t>’</w:t>
      </w:r>
      <w:r w:rsidR="008B07E3" w:rsidRPr="008D79F8">
        <w:rPr>
          <w:sz w:val="22"/>
          <w:szCs w:val="22"/>
        </w:rPr>
        <w:t xml:space="preserve">s </w:t>
      </w:r>
      <w:r w:rsidRPr="008D79F8">
        <w:rPr>
          <w:sz w:val="22"/>
          <w:szCs w:val="22"/>
        </w:rPr>
        <w:t xml:space="preserve">disease patients on use of contraindicated drugs. </w:t>
      </w:r>
      <w:proofErr w:type="spellStart"/>
      <w:r w:rsidR="008B07E3" w:rsidRPr="00510753">
        <w:rPr>
          <w:i/>
          <w:iCs/>
          <w:sz w:val="22"/>
          <w:szCs w:val="22"/>
        </w:rPr>
        <w:t>Neurolog</w:t>
      </w:r>
      <w:r w:rsidR="008B07E3">
        <w:rPr>
          <w:i/>
          <w:iCs/>
          <w:sz w:val="22"/>
          <w:szCs w:val="22"/>
        </w:rPr>
        <w:t>i</w:t>
      </w:r>
      <w:r w:rsidR="008B07E3" w:rsidRPr="00510753">
        <w:rPr>
          <w:i/>
          <w:iCs/>
          <w:sz w:val="22"/>
          <w:szCs w:val="22"/>
        </w:rPr>
        <w:t>a</w:t>
      </w:r>
      <w:proofErr w:type="spellEnd"/>
      <w:r w:rsidR="008B07E3">
        <w:rPr>
          <w:i/>
          <w:iCs/>
          <w:sz w:val="22"/>
          <w:szCs w:val="22"/>
        </w:rPr>
        <w:t xml:space="preserve"> (Engl Ed)</w:t>
      </w:r>
      <w:r w:rsidRPr="008D79F8">
        <w:rPr>
          <w:sz w:val="22"/>
          <w:szCs w:val="22"/>
        </w:rPr>
        <w:t>. 2026;41(1):101897. doi:10.1016/j.nrl.2023.11.011</w:t>
      </w:r>
    </w:p>
    <w:p w14:paraId="7466F235" w14:textId="55CA6975" w:rsidR="00430D43" w:rsidRPr="00510753" w:rsidRDefault="003042A5" w:rsidP="00430D43">
      <w:pPr>
        <w:pStyle w:val="ListParagraph"/>
        <w:numPr>
          <w:ilvl w:val="0"/>
          <w:numId w:val="3"/>
        </w:numPr>
        <w:rPr>
          <w:color w:val="000000" w:themeColor="text1"/>
          <w:sz w:val="22"/>
          <w:szCs w:val="22"/>
        </w:rPr>
      </w:pPr>
      <w:r w:rsidRPr="008D79F8">
        <w:rPr>
          <w:sz w:val="22"/>
          <w:szCs w:val="22"/>
        </w:rPr>
        <w:t xml:space="preserve">Xu Z, Jiang A, </w:t>
      </w:r>
      <w:proofErr w:type="spellStart"/>
      <w:r w:rsidRPr="008D79F8">
        <w:rPr>
          <w:sz w:val="22"/>
          <w:szCs w:val="22"/>
        </w:rPr>
        <w:t>Bujala</w:t>
      </w:r>
      <w:proofErr w:type="spellEnd"/>
      <w:r w:rsidRPr="008D79F8">
        <w:rPr>
          <w:sz w:val="22"/>
          <w:szCs w:val="22"/>
        </w:rPr>
        <w:t xml:space="preserve"> N, et al. Impact of best practice advisory on reducing contraindicated medications in hospitalized patients with </w:t>
      </w:r>
      <w:r w:rsidR="008B07E3" w:rsidRPr="008D79F8">
        <w:rPr>
          <w:sz w:val="22"/>
          <w:szCs w:val="22"/>
        </w:rPr>
        <w:t>Parkinson</w:t>
      </w:r>
      <w:r w:rsidR="008B07E3">
        <w:rPr>
          <w:sz w:val="22"/>
          <w:szCs w:val="22"/>
        </w:rPr>
        <w:t>’</w:t>
      </w:r>
      <w:r w:rsidR="008B07E3" w:rsidRPr="008D79F8">
        <w:rPr>
          <w:sz w:val="22"/>
          <w:szCs w:val="22"/>
        </w:rPr>
        <w:t xml:space="preserve">s </w:t>
      </w:r>
      <w:r w:rsidRPr="008D79F8">
        <w:rPr>
          <w:sz w:val="22"/>
          <w:szCs w:val="22"/>
        </w:rPr>
        <w:t xml:space="preserve">disease. </w:t>
      </w:r>
      <w:r w:rsidRPr="00510753">
        <w:rPr>
          <w:i/>
          <w:iCs/>
          <w:sz w:val="22"/>
          <w:szCs w:val="22"/>
        </w:rPr>
        <w:t xml:space="preserve">Parkinsonism </w:t>
      </w:r>
      <w:proofErr w:type="spellStart"/>
      <w:r w:rsidRPr="00510753">
        <w:rPr>
          <w:i/>
          <w:iCs/>
          <w:sz w:val="22"/>
          <w:szCs w:val="22"/>
        </w:rPr>
        <w:t>Relat</w:t>
      </w:r>
      <w:proofErr w:type="spellEnd"/>
      <w:r w:rsidRPr="00510753">
        <w:rPr>
          <w:i/>
          <w:iCs/>
          <w:sz w:val="22"/>
          <w:szCs w:val="22"/>
        </w:rPr>
        <w:t xml:space="preserve"> </w:t>
      </w:r>
      <w:proofErr w:type="spellStart"/>
      <w:r w:rsidRPr="00510753">
        <w:rPr>
          <w:i/>
          <w:iCs/>
          <w:sz w:val="22"/>
          <w:szCs w:val="22"/>
        </w:rPr>
        <w:t>Disord</w:t>
      </w:r>
      <w:proofErr w:type="spellEnd"/>
      <w:r w:rsidRPr="008D79F8">
        <w:rPr>
          <w:sz w:val="22"/>
          <w:szCs w:val="22"/>
        </w:rPr>
        <w:t>. 2026;142:108129. doi:10.1016/j.parkreldis.2025.108129</w:t>
      </w:r>
    </w:p>
    <w:p w14:paraId="266BAEED" w14:textId="310418E1" w:rsidR="00990805" w:rsidRPr="00510753" w:rsidRDefault="00990805" w:rsidP="00430D43">
      <w:pPr>
        <w:pStyle w:val="ListParagraph"/>
        <w:numPr>
          <w:ilvl w:val="0"/>
          <w:numId w:val="3"/>
        </w:numPr>
        <w:rPr>
          <w:color w:val="000000" w:themeColor="text1"/>
          <w:sz w:val="22"/>
          <w:szCs w:val="22"/>
        </w:rPr>
      </w:pPr>
      <w:r>
        <w:rPr>
          <w:sz w:val="22"/>
          <w:szCs w:val="22"/>
        </w:rPr>
        <w:t xml:space="preserve">Parkinson’s Foundation. Parkinson’s Foundation </w:t>
      </w:r>
      <w:r w:rsidR="008B07E3">
        <w:rPr>
          <w:sz w:val="22"/>
          <w:szCs w:val="22"/>
        </w:rPr>
        <w:t>Hospital Care Learning Collaborative</w:t>
      </w:r>
      <w:r>
        <w:rPr>
          <w:sz w:val="22"/>
          <w:szCs w:val="22"/>
        </w:rPr>
        <w:t xml:space="preserve">. Accessed </w:t>
      </w:r>
      <w:r w:rsidR="008B07E3">
        <w:rPr>
          <w:sz w:val="22"/>
          <w:szCs w:val="22"/>
        </w:rPr>
        <w:t>October 21</w:t>
      </w:r>
      <w:r>
        <w:rPr>
          <w:sz w:val="22"/>
          <w:szCs w:val="22"/>
        </w:rPr>
        <w:t xml:space="preserve">, 2026. </w:t>
      </w:r>
      <w:r w:rsidRPr="00990805">
        <w:rPr>
          <w:sz w:val="22"/>
          <w:szCs w:val="22"/>
        </w:rPr>
        <w:t>https://www.parkinson.org/resources-support/professionals/our-care-strategy/hospital-care-initiative#learningcollab</w:t>
      </w:r>
    </w:p>
    <w:p w14:paraId="6AD0E10D" w14:textId="77777777" w:rsidR="00B0067C" w:rsidRDefault="00B0067C">
      <w:pPr>
        <w:rPr>
          <w:b/>
          <w:bCs/>
          <w:sz w:val="22"/>
          <w:szCs w:val="22"/>
          <w:u w:val="single"/>
        </w:rPr>
      </w:pPr>
      <w:r>
        <w:rPr>
          <w:b/>
          <w:bCs/>
          <w:sz w:val="22"/>
          <w:szCs w:val="22"/>
          <w:u w:val="single"/>
        </w:rPr>
        <w:br w:type="page"/>
      </w:r>
    </w:p>
    <w:p w14:paraId="05A1E699" w14:textId="77777777" w:rsidR="00F76F1A" w:rsidRDefault="00F76F1A" w:rsidP="009D2C4C">
      <w:pPr>
        <w:spacing w:after="0"/>
        <w:rPr>
          <w:rFonts w:eastAsia="Times New Roman" w:cs="Arial"/>
          <w:b/>
          <w:bCs/>
          <w:color w:val="333333"/>
          <w:spacing w:val="2"/>
          <w:sz w:val="22"/>
          <w:szCs w:val="22"/>
        </w:rPr>
      </w:pPr>
    </w:p>
    <w:p w14:paraId="508CA4B2" w14:textId="20BE9682" w:rsidR="00F76F1A" w:rsidRPr="009A18E8" w:rsidRDefault="00F76F1A" w:rsidP="009D2C4C">
      <w:pPr>
        <w:spacing w:after="0"/>
        <w:rPr>
          <w:rFonts w:eastAsia="Times New Roman" w:cs="Arial"/>
          <w:b/>
          <w:bCs/>
          <w:color w:val="000000" w:themeColor="text1"/>
          <w:spacing w:val="2"/>
          <w:sz w:val="22"/>
          <w:szCs w:val="22"/>
          <w:u w:val="single"/>
        </w:rPr>
      </w:pPr>
      <w:r w:rsidRPr="009A18E8">
        <w:rPr>
          <w:rFonts w:eastAsia="Times New Roman" w:cs="Arial"/>
          <w:b/>
          <w:bCs/>
          <w:color w:val="000000" w:themeColor="text1"/>
          <w:spacing w:val="2"/>
          <w:sz w:val="22"/>
          <w:szCs w:val="22"/>
          <w:u w:val="single"/>
        </w:rPr>
        <w:t>For Patients</w:t>
      </w:r>
    </w:p>
    <w:p w14:paraId="17A5D2E6" w14:textId="77777777" w:rsidR="00F76F1A" w:rsidRDefault="00F76F1A" w:rsidP="009D2C4C">
      <w:pPr>
        <w:spacing w:after="0"/>
        <w:rPr>
          <w:rFonts w:eastAsia="Times New Roman" w:cs="Arial"/>
          <w:b/>
          <w:bCs/>
          <w:color w:val="333333"/>
          <w:spacing w:val="2"/>
          <w:sz w:val="22"/>
          <w:szCs w:val="22"/>
          <w:u w:val="single"/>
        </w:rPr>
      </w:pPr>
    </w:p>
    <w:p w14:paraId="7206CDE4" w14:textId="17499BCF" w:rsidR="00F76F1A" w:rsidRDefault="00F76F1A" w:rsidP="00F76F1A">
      <w:pPr>
        <w:rPr>
          <w:rFonts w:ascii="Aptos" w:hAnsi="Aptos"/>
          <w:color w:val="000000"/>
        </w:rPr>
      </w:pPr>
      <w:r>
        <w:rPr>
          <w:rFonts w:ascii="Aptos" w:hAnsi="Aptos"/>
          <w:color w:val="000000"/>
        </w:rPr>
        <w:t>When a patient with Parkinson’s Disease is hospitalized, provide Healthcare Workers with:</w:t>
      </w:r>
    </w:p>
    <w:p w14:paraId="0A158E88" w14:textId="77777777" w:rsidR="00F76F1A" w:rsidRDefault="00F76F1A" w:rsidP="00F76F1A">
      <w:pPr>
        <w:numPr>
          <w:ilvl w:val="0"/>
          <w:numId w:val="6"/>
        </w:numPr>
        <w:spacing w:after="0"/>
        <w:rPr>
          <w:rFonts w:ascii="Aptos" w:hAnsi="Aptos"/>
          <w:color w:val="000000"/>
        </w:rPr>
      </w:pPr>
      <w:r>
        <w:rPr>
          <w:rFonts w:ascii="Aptos" w:hAnsi="Aptos"/>
          <w:color w:val="000000"/>
        </w:rPr>
        <w:t>A detailed list of your medications, doses, and time of administration.</w:t>
      </w:r>
    </w:p>
    <w:p w14:paraId="23F38889" w14:textId="4990CBF6" w:rsidR="00F76F1A" w:rsidRPr="002744EB" w:rsidRDefault="00F76F1A" w:rsidP="009A18E8">
      <w:pPr>
        <w:ind w:left="720" w:hanging="720"/>
        <w:rPr>
          <w:rFonts w:ascii="Aptos" w:hAnsi="Aptos"/>
          <w:color w:val="000000"/>
        </w:rPr>
      </w:pPr>
      <w:r>
        <w:rPr>
          <w:rFonts w:ascii="Aptos" w:hAnsi="Aptos"/>
          <w:color w:val="000000"/>
        </w:rPr>
        <w:t xml:space="preserve">            </w:t>
      </w:r>
      <w:r>
        <w:rPr>
          <w:rFonts w:ascii="Aptos" w:hAnsi="Aptos"/>
          <w:color w:val="000000"/>
        </w:rPr>
        <w:t xml:space="preserve">   </w:t>
      </w:r>
      <w:r>
        <w:rPr>
          <w:rFonts w:ascii="Aptos" w:hAnsi="Aptos"/>
          <w:color w:val="000000"/>
        </w:rPr>
        <w:t xml:space="preserve">For a printable medication form, See link at bottom of </w:t>
      </w:r>
      <w:r w:rsidR="009A18E8">
        <w:rPr>
          <w:rFonts w:ascii="Aptos" w:hAnsi="Aptos"/>
          <w:color w:val="000000"/>
        </w:rPr>
        <w:t xml:space="preserve">this </w:t>
      </w:r>
      <w:r>
        <w:rPr>
          <w:rFonts w:ascii="Aptos" w:hAnsi="Aptos"/>
          <w:color w:val="000000"/>
        </w:rPr>
        <w:t>ISMP</w:t>
      </w:r>
      <w:r w:rsidR="00FC38D4">
        <w:rPr>
          <w:rFonts w:ascii="Aptos" w:hAnsi="Aptos"/>
          <w:color w:val="000000"/>
        </w:rPr>
        <w:t xml:space="preserve"> </w:t>
      </w:r>
      <w:r>
        <w:rPr>
          <w:rFonts w:ascii="Aptos" w:hAnsi="Aptos"/>
          <w:color w:val="000000"/>
        </w:rPr>
        <w:t>webpage</w:t>
      </w:r>
      <w:r w:rsidR="009A18E8">
        <w:rPr>
          <w:rFonts w:ascii="Aptos" w:hAnsi="Aptos"/>
          <w:color w:val="000000"/>
        </w:rPr>
        <w:t xml:space="preserve"> </w:t>
      </w:r>
      <w:hyperlink r:id="rId5" w:history="1">
        <w:r>
          <w:rPr>
            <w:rStyle w:val="Hyperlink"/>
            <w:rFonts w:ascii="Aptos" w:hAnsi="Aptos"/>
            <w:color w:val="96607D"/>
          </w:rPr>
          <w:t>https://www.cons</w:t>
        </w:r>
        <w:r>
          <w:rPr>
            <w:rStyle w:val="Hyperlink"/>
            <w:rFonts w:ascii="Aptos" w:hAnsi="Aptos"/>
            <w:color w:val="96607D"/>
          </w:rPr>
          <w:t>u</w:t>
        </w:r>
        <w:r>
          <w:rPr>
            <w:rStyle w:val="Hyperlink"/>
            <w:rFonts w:ascii="Aptos" w:hAnsi="Aptos"/>
            <w:color w:val="96607D"/>
          </w:rPr>
          <w:t>mermedsafety.org/safety-tips/keep-a-record-of-your-medicines</w:t>
        </w:r>
      </w:hyperlink>
      <w:r>
        <w:rPr>
          <w:rFonts w:ascii="Aptos" w:hAnsi="Aptos"/>
          <w:color w:val="96607D"/>
        </w:rPr>
        <w:t> </w:t>
      </w:r>
      <w:r>
        <w:rPr>
          <w:rFonts w:ascii="Aptos" w:hAnsi="Aptos"/>
          <w:color w:val="96607D"/>
        </w:rPr>
        <w:t> </w:t>
      </w:r>
      <w:r>
        <w:rPr>
          <w:rFonts w:ascii="Aptos" w:hAnsi="Aptos"/>
          <w:color w:val="96607D"/>
        </w:rPr>
        <w:t> </w:t>
      </w:r>
      <w:r>
        <w:rPr>
          <w:rFonts w:ascii="Aptos" w:hAnsi="Aptos"/>
          <w:color w:val="96607D"/>
        </w:rPr>
        <w:t> </w:t>
      </w:r>
      <w:r>
        <w:rPr>
          <w:rFonts w:ascii="Aptos" w:hAnsi="Aptos"/>
          <w:color w:val="96607D"/>
        </w:rPr>
        <w:t> </w:t>
      </w:r>
      <w:r>
        <w:rPr>
          <w:rFonts w:ascii="Aptos" w:hAnsi="Aptos"/>
          <w:color w:val="96607D"/>
        </w:rPr>
        <w:t> </w:t>
      </w:r>
      <w:r>
        <w:rPr>
          <w:rFonts w:ascii="Aptos" w:hAnsi="Aptos"/>
          <w:color w:val="96607D"/>
        </w:rPr>
        <w:t> </w:t>
      </w:r>
      <w:r>
        <w:rPr>
          <w:rFonts w:ascii="Aptos" w:hAnsi="Aptos"/>
          <w:color w:val="96607D"/>
        </w:rPr>
        <w:t> </w:t>
      </w:r>
    </w:p>
    <w:p w14:paraId="72A5AE42" w14:textId="5666781B" w:rsidR="00F76F1A" w:rsidRDefault="00F76F1A" w:rsidP="00F76F1A">
      <w:pPr>
        <w:pStyle w:val="NormalWeb"/>
        <w:numPr>
          <w:ilvl w:val="0"/>
          <w:numId w:val="7"/>
        </w:numPr>
        <w:tabs>
          <w:tab w:val="clear" w:pos="720"/>
        </w:tabs>
        <w:spacing w:before="0" w:beforeAutospacing="0" w:after="0" w:afterAutospacing="0"/>
        <w:rPr>
          <w:rFonts w:ascii="Aptos" w:hAnsi="Aptos"/>
          <w:color w:val="000000"/>
        </w:rPr>
      </w:pPr>
      <w:r>
        <w:rPr>
          <w:rFonts w:ascii="Aptos" w:hAnsi="Aptos"/>
          <w:color w:val="000000"/>
        </w:rPr>
        <w:t>A copy of the following information that will help prevent medication errors in the hospital</w:t>
      </w:r>
      <w:r w:rsidR="002744EB">
        <w:rPr>
          <w:rFonts w:ascii="Aptos" w:hAnsi="Aptos"/>
          <w:color w:val="000000"/>
        </w:rPr>
        <w:t>:</w:t>
      </w:r>
    </w:p>
    <w:p w14:paraId="3587875C" w14:textId="1029CA06" w:rsidR="009A18E8" w:rsidRPr="009A18E8" w:rsidRDefault="009A18E8" w:rsidP="009A18E8">
      <w:pPr>
        <w:pStyle w:val="NormalWeb"/>
        <w:spacing w:before="0" w:beforeAutospacing="0" w:after="0" w:afterAutospacing="0"/>
        <w:ind w:left="720"/>
        <w:rPr>
          <w:rFonts w:ascii="Aptos" w:hAnsi="Aptos"/>
          <w:color w:val="000000"/>
        </w:rPr>
      </w:pPr>
      <w:r>
        <w:rPr>
          <w:rFonts w:ascii="Aptos" w:hAnsi="Aptos"/>
          <w:noProof/>
          <w:color w:val="000000"/>
        </w:rPr>
        <mc:AlternateContent>
          <mc:Choice Requires="wps">
            <w:drawing>
              <wp:anchor distT="0" distB="0" distL="114300" distR="114300" simplePos="0" relativeHeight="251659264" behindDoc="0" locked="0" layoutInCell="1" allowOverlap="1" wp14:anchorId="2E37F583" wp14:editId="79D33903">
                <wp:simplePos x="0" y="0"/>
                <wp:positionH relativeFrom="column">
                  <wp:posOffset>-132430</wp:posOffset>
                </wp:positionH>
                <wp:positionV relativeFrom="paragraph">
                  <wp:posOffset>89075</wp:posOffset>
                </wp:positionV>
                <wp:extent cx="6262063" cy="1292554"/>
                <wp:effectExtent l="0" t="0" r="12065" b="15875"/>
                <wp:wrapNone/>
                <wp:docPr id="962104080" name="Text Box 2"/>
                <wp:cNvGraphicFramePr/>
                <a:graphic xmlns:a="http://schemas.openxmlformats.org/drawingml/2006/main">
                  <a:graphicData uri="http://schemas.microsoft.com/office/word/2010/wordprocessingShape">
                    <wps:wsp>
                      <wps:cNvSpPr txBox="1"/>
                      <wps:spPr>
                        <a:xfrm>
                          <a:off x="0" y="0"/>
                          <a:ext cx="6262063" cy="1292554"/>
                        </a:xfrm>
                        <a:prstGeom prst="rect">
                          <a:avLst/>
                        </a:prstGeom>
                        <a:noFill/>
                        <a:ln w="6350">
                          <a:solidFill>
                            <a:schemeClr val="bg1"/>
                          </a:solidFill>
                        </a:ln>
                      </wps:spPr>
                      <wps:txbx>
                        <w:txbxContent>
                          <w:p w14:paraId="4BC45E99" w14:textId="77777777" w:rsidR="009A18E8" w:rsidRDefault="009A18E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E37F583" id="_x0000_t202" coordsize="21600,21600" o:spt="202" path="m,l,21600r21600,l21600,xe">
                <v:stroke joinstyle="miter"/>
                <v:path gradientshapeok="t" o:connecttype="rect"/>
              </v:shapetype>
              <v:shape id="Text Box 2" o:spid="_x0000_s1026" type="#_x0000_t202" style="position:absolute;left:0;text-align:left;margin-left:-10.45pt;margin-top:7pt;width:493.1pt;height:101.8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" filled="f" strokecolor="white [3212]" strokeweight=".5pt">
                <v:textbox>
                  <w:txbxContent>
                    <w:p w14:paraId="4BC45E99" w14:textId="77777777" w:rsidR="009A18E8" w:rsidRDefault="009A18E8"/>
                  </w:txbxContent>
                </v:textbox>
              </v:shape>
            </w:pict>
          </mc:Fallback>
        </mc:AlternateContent>
      </w:r>
    </w:p>
    <w:p w14:paraId="400C6A3B" w14:textId="77777777" w:rsidR="009A18E8" w:rsidRDefault="00F76F1A" w:rsidP="009A18E8">
      <w:pPr>
        <w:jc w:val="center"/>
        <w:rPr>
          <w:rFonts w:ascii="Aptos" w:hAnsi="Aptos"/>
          <w:color w:val="000000"/>
          <w:sz w:val="16"/>
          <w:szCs w:val="16"/>
        </w:rPr>
      </w:pPr>
      <w:r>
        <w:rPr>
          <w:rFonts w:ascii="Aptos" w:hAnsi="Aptos"/>
          <w:b/>
          <w:bCs/>
          <w:color w:val="000000"/>
          <w:sz w:val="28"/>
          <w:szCs w:val="28"/>
        </w:rPr>
        <w:t>I have Parkinson’s disease.</w:t>
      </w:r>
    </w:p>
    <w:p w14:paraId="34666CD2" w14:textId="7DA863DF" w:rsidR="00F76F1A" w:rsidRPr="002744EB" w:rsidRDefault="00F76F1A" w:rsidP="009A18E8">
      <w:pPr>
        <w:jc w:val="center"/>
        <w:rPr>
          <w:rFonts w:ascii="Aptos" w:hAnsi="Aptos"/>
          <w:color w:val="000000"/>
          <w:sz w:val="16"/>
          <w:szCs w:val="16"/>
        </w:rPr>
      </w:pPr>
      <w:r w:rsidRPr="002744EB">
        <w:rPr>
          <w:rFonts w:ascii="Aptos" w:hAnsi="Aptos"/>
          <w:color w:val="000000"/>
          <w:sz w:val="16"/>
          <w:szCs w:val="16"/>
        </w:rPr>
        <w:t xml:space="preserve">NCCMERP developed recommendations to </w:t>
      </w:r>
      <w:r w:rsidR="002744EB" w:rsidRPr="002744EB">
        <w:rPr>
          <w:rFonts w:ascii="Aptos" w:hAnsi="Aptos"/>
          <w:color w:val="000000"/>
          <w:sz w:val="16"/>
          <w:szCs w:val="16"/>
        </w:rPr>
        <w:t>help avoid</w:t>
      </w:r>
      <w:r w:rsidRPr="002744EB">
        <w:rPr>
          <w:rFonts w:ascii="Aptos" w:hAnsi="Aptos"/>
          <w:color w:val="000000"/>
          <w:sz w:val="16"/>
          <w:szCs w:val="16"/>
        </w:rPr>
        <w:t xml:space="preserve"> medication errors in hospitalized patients with Parkinson’s disease. </w:t>
      </w:r>
    </w:p>
    <w:p w14:paraId="586982AA" w14:textId="460E9913" w:rsidR="00F76F1A" w:rsidRDefault="00F76F1A" w:rsidP="00F76F1A">
      <w:pPr>
        <w:jc w:val="center"/>
        <w:rPr>
          <w:rFonts w:ascii="Aptos" w:hAnsi="Aptos"/>
          <w:color w:val="000000"/>
          <w:sz w:val="28"/>
          <w:szCs w:val="28"/>
        </w:rPr>
      </w:pPr>
      <w:r>
        <w:rPr>
          <w:rFonts w:ascii="Aptos" w:hAnsi="Aptos"/>
          <w:b/>
          <w:bCs/>
          <w:color w:val="000000"/>
          <w:sz w:val="28"/>
          <w:szCs w:val="28"/>
        </w:rPr>
        <w:t xml:space="preserve">Please review recommendations at [INSERT WEBSITE LINK] and discuss </w:t>
      </w:r>
      <w:r w:rsidR="002744EB">
        <w:rPr>
          <w:rFonts w:ascii="Aptos" w:hAnsi="Aptos"/>
          <w:b/>
          <w:bCs/>
          <w:color w:val="000000"/>
          <w:sz w:val="28"/>
          <w:szCs w:val="28"/>
        </w:rPr>
        <w:t xml:space="preserve">them </w:t>
      </w:r>
      <w:r>
        <w:rPr>
          <w:rFonts w:ascii="Aptos" w:hAnsi="Aptos"/>
          <w:b/>
          <w:bCs/>
          <w:color w:val="000000"/>
          <w:sz w:val="28"/>
          <w:szCs w:val="28"/>
        </w:rPr>
        <w:t>with me, my care partner, and my healthcare team.</w:t>
      </w:r>
    </w:p>
    <w:p w14:paraId="773A51F2" w14:textId="77777777" w:rsidR="00F76F1A" w:rsidRDefault="00F76F1A" w:rsidP="009D2C4C">
      <w:pPr>
        <w:spacing w:after="0"/>
        <w:rPr>
          <w:rFonts w:eastAsia="Times New Roman" w:cs="Arial"/>
          <w:b/>
          <w:bCs/>
          <w:color w:val="333333"/>
          <w:spacing w:val="2"/>
          <w:sz w:val="22"/>
          <w:szCs w:val="22"/>
        </w:rPr>
      </w:pPr>
    </w:p>
    <w:p w14:paraId="3863BD7A" w14:textId="77777777" w:rsidR="00DF64D0" w:rsidRDefault="00DF64D0" w:rsidP="009D2C4C">
      <w:pPr>
        <w:spacing w:after="0"/>
        <w:rPr>
          <w:rFonts w:eastAsia="Times New Roman" w:cs="Arial"/>
          <w:b/>
          <w:bCs/>
          <w:color w:val="333333"/>
          <w:spacing w:val="2"/>
          <w:sz w:val="22"/>
          <w:szCs w:val="22"/>
        </w:rPr>
      </w:pPr>
    </w:p>
    <w:p w14:paraId="5BD1E3AA" w14:textId="77777777" w:rsidR="00DF64D0" w:rsidRDefault="00DF64D0" w:rsidP="009D2C4C">
      <w:pPr>
        <w:spacing w:after="0"/>
        <w:rPr>
          <w:rFonts w:eastAsia="Times New Roman" w:cs="Arial"/>
          <w:b/>
          <w:bCs/>
          <w:color w:val="333333"/>
          <w:spacing w:val="2"/>
          <w:sz w:val="22"/>
          <w:szCs w:val="22"/>
        </w:rPr>
      </w:pPr>
    </w:p>
    <w:p w14:paraId="1F5E73F1" w14:textId="77777777" w:rsidR="00DF64D0" w:rsidRPr="008D79F8" w:rsidRDefault="00DF64D0" w:rsidP="00DF64D0">
      <w:pPr>
        <w:pStyle w:val="BodyText"/>
        <w:rPr>
          <w:b/>
          <w:bCs/>
          <w:sz w:val="22"/>
          <w:szCs w:val="22"/>
          <w:u w:val="single"/>
        </w:rPr>
      </w:pPr>
      <w:r w:rsidRPr="008D79F8">
        <w:rPr>
          <w:b/>
          <w:bCs/>
          <w:sz w:val="22"/>
          <w:szCs w:val="22"/>
          <w:u w:val="single"/>
        </w:rPr>
        <w:t>Recommendation Development</w:t>
      </w:r>
    </w:p>
    <w:p w14:paraId="0592AA8A" w14:textId="77777777" w:rsidR="00DF64D0" w:rsidRPr="008D79F8" w:rsidRDefault="00DF64D0" w:rsidP="00DF64D0">
      <w:pPr>
        <w:pStyle w:val="BodyText"/>
        <w:rPr>
          <w:rFonts w:cs="Calibri"/>
          <w:sz w:val="22"/>
          <w:szCs w:val="22"/>
        </w:rPr>
      </w:pPr>
      <w:r w:rsidRPr="008D79F8">
        <w:rPr>
          <w:sz w:val="22"/>
          <w:szCs w:val="22"/>
        </w:rPr>
        <w:t>Principal authors were NCC MERP members Emily Peron, PharmD, MS; Nicole Mollenkopf, PharmD, MBA; and Bob Feroli, PharmD</w:t>
      </w:r>
      <w:r>
        <w:rPr>
          <w:sz w:val="22"/>
          <w:szCs w:val="22"/>
        </w:rPr>
        <w:t>, FASHP</w:t>
      </w:r>
      <w:r w:rsidRPr="008D79F8">
        <w:rPr>
          <w:sz w:val="22"/>
          <w:szCs w:val="22"/>
        </w:rPr>
        <w:t>. This recommendation is aligned with and supported by broader guidance issued by the Parkinson</w:t>
      </w:r>
      <w:r>
        <w:rPr>
          <w:sz w:val="22"/>
          <w:szCs w:val="22"/>
        </w:rPr>
        <w:t>’</w:t>
      </w:r>
      <w:r w:rsidRPr="008D79F8">
        <w:rPr>
          <w:sz w:val="22"/>
          <w:szCs w:val="22"/>
        </w:rPr>
        <w:t xml:space="preserve">s Foundation </w:t>
      </w:r>
      <w:r>
        <w:rPr>
          <w:sz w:val="22"/>
          <w:szCs w:val="22"/>
        </w:rPr>
        <w:t>[3,4,9,11,12,15]</w:t>
      </w:r>
      <w:r w:rsidRPr="008D79F8">
        <w:rPr>
          <w:sz w:val="22"/>
          <w:szCs w:val="22"/>
        </w:rPr>
        <w:t>.</w:t>
      </w:r>
    </w:p>
    <w:p w14:paraId="66A51645" w14:textId="77777777" w:rsidR="00DF64D0" w:rsidRPr="008D79F8" w:rsidRDefault="00DF64D0" w:rsidP="00DF64D0">
      <w:pPr>
        <w:spacing w:after="150"/>
        <w:rPr>
          <w:rFonts w:eastAsia="Times New Roman" w:cs="Arial"/>
          <w:color w:val="333333"/>
          <w:spacing w:val="2"/>
          <w:sz w:val="22"/>
          <w:szCs w:val="22"/>
        </w:rPr>
      </w:pPr>
      <w:r w:rsidRPr="008D79F8">
        <w:rPr>
          <w:sz w:val="22"/>
          <w:szCs w:val="22"/>
        </w:rPr>
        <w:t>Actions and decisions are those of the Council as a whole and may not reflect the views or positions of individual member organizations.</w:t>
      </w:r>
    </w:p>
    <w:p w14:paraId="141CE63A" w14:textId="77777777" w:rsidR="00DF64D0" w:rsidRDefault="00DF64D0" w:rsidP="009D2C4C">
      <w:pPr>
        <w:spacing w:after="0"/>
        <w:rPr>
          <w:rFonts w:eastAsia="Times New Roman" w:cs="Arial"/>
          <w:b/>
          <w:bCs/>
          <w:color w:val="333333"/>
          <w:spacing w:val="2"/>
          <w:sz w:val="22"/>
          <w:szCs w:val="22"/>
        </w:rPr>
      </w:pPr>
    </w:p>
    <w:p w14:paraId="5C5432F7" w14:textId="77777777" w:rsidR="00DF64D0" w:rsidRDefault="00DF64D0" w:rsidP="009D2C4C">
      <w:pPr>
        <w:spacing w:after="0"/>
        <w:rPr>
          <w:rFonts w:eastAsia="Times New Roman" w:cs="Arial"/>
          <w:b/>
          <w:bCs/>
          <w:color w:val="333333"/>
          <w:spacing w:val="2"/>
          <w:sz w:val="22"/>
          <w:szCs w:val="22"/>
        </w:rPr>
      </w:pPr>
    </w:p>
    <w:p w14:paraId="5AA58018" w14:textId="77777777" w:rsidR="00DF64D0" w:rsidRDefault="00DF64D0" w:rsidP="009D2C4C">
      <w:pPr>
        <w:spacing w:after="0"/>
        <w:rPr>
          <w:rFonts w:eastAsia="Times New Roman" w:cs="Arial"/>
          <w:b/>
          <w:bCs/>
          <w:color w:val="333333"/>
          <w:spacing w:val="2"/>
          <w:sz w:val="22"/>
          <w:szCs w:val="22"/>
        </w:rPr>
      </w:pPr>
    </w:p>
    <w:p w14:paraId="3EB52FE3" w14:textId="77777777" w:rsidR="00DF64D0" w:rsidRDefault="00DF64D0" w:rsidP="009D2C4C">
      <w:pPr>
        <w:spacing w:after="0"/>
        <w:rPr>
          <w:rFonts w:eastAsia="Times New Roman" w:cs="Arial"/>
          <w:b/>
          <w:bCs/>
          <w:color w:val="333333"/>
          <w:spacing w:val="2"/>
          <w:sz w:val="22"/>
          <w:szCs w:val="22"/>
        </w:rPr>
      </w:pPr>
    </w:p>
    <w:p w14:paraId="7ECC08BD" w14:textId="77777777" w:rsidR="00DF64D0" w:rsidRDefault="00DF64D0" w:rsidP="009D2C4C">
      <w:pPr>
        <w:spacing w:after="0"/>
        <w:rPr>
          <w:rFonts w:eastAsia="Times New Roman" w:cs="Arial"/>
          <w:b/>
          <w:bCs/>
          <w:color w:val="333333"/>
          <w:spacing w:val="2"/>
          <w:sz w:val="22"/>
          <w:szCs w:val="22"/>
        </w:rPr>
      </w:pPr>
    </w:p>
    <w:p w14:paraId="2DA282AC" w14:textId="0FEEBF91" w:rsidR="008819B6" w:rsidRPr="008D79F8" w:rsidRDefault="009D2C4C" w:rsidP="009D2C4C">
      <w:pPr>
        <w:spacing w:after="0"/>
        <w:rPr>
          <w:rFonts w:eastAsia="Times New Roman" w:cs="Arial"/>
          <w:b/>
          <w:bCs/>
          <w:color w:val="333333"/>
          <w:spacing w:val="2"/>
          <w:sz w:val="22"/>
          <w:szCs w:val="22"/>
        </w:rPr>
      </w:pPr>
      <w:r w:rsidRPr="008D79F8">
        <w:rPr>
          <w:rFonts w:eastAsia="Times New Roman" w:cs="Arial"/>
          <w:b/>
          <w:bCs/>
          <w:color w:val="333333"/>
          <w:spacing w:val="2"/>
          <w:sz w:val="22"/>
          <w:szCs w:val="22"/>
        </w:rPr>
        <w:t xml:space="preserve">Adopted </w:t>
      </w:r>
      <w:r w:rsidR="008E6D2D">
        <w:rPr>
          <w:rFonts w:eastAsia="Times New Roman" w:cs="Arial"/>
          <w:b/>
          <w:bCs/>
          <w:color w:val="333333"/>
          <w:spacing w:val="2"/>
          <w:sz w:val="22"/>
          <w:szCs w:val="22"/>
        </w:rPr>
        <w:t>10/</w:t>
      </w:r>
      <w:r w:rsidR="00F54392">
        <w:rPr>
          <w:rFonts w:eastAsia="Times New Roman" w:cs="Arial"/>
          <w:b/>
          <w:bCs/>
          <w:color w:val="333333"/>
          <w:spacing w:val="2"/>
          <w:sz w:val="22"/>
          <w:szCs w:val="22"/>
        </w:rPr>
        <w:t>30</w:t>
      </w:r>
      <w:r w:rsidR="008E6D2D">
        <w:rPr>
          <w:rFonts w:eastAsia="Times New Roman" w:cs="Arial"/>
          <w:b/>
          <w:bCs/>
          <w:color w:val="333333"/>
          <w:spacing w:val="2"/>
          <w:sz w:val="22"/>
          <w:szCs w:val="22"/>
        </w:rPr>
        <w:t>/2026</w:t>
      </w:r>
    </w:p>
    <w:sectPr w:rsidR="008819B6" w:rsidRPr="008D79F8" w:rsidSect="009D2C4C">
      <w:footnotePr>
        <w:numRestart w:val="eachSect"/>
      </w:footnotePr>
      <w:pgSz w:w="12240" w:h="15840"/>
      <w:pgMar w:top="495" w:right="1440" w:bottom="783"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onsolas">
    <w:panose1 w:val="020B0609020204030204"/>
    <w:charset w:val="00"/>
    <w:family w:val="modern"/>
    <w:pitch w:val="fixed"/>
    <w:sig w:usb0="E10006FF" w:usb1="4000FCFF" w:usb2="00000009"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A990"/>
    <w:multiLevelType w:val="multilevel"/>
    <w:tmpl w:val="570E19B4"/>
    <w:lvl w:ilvl="0">
      <w:numFmt w:val="bullet"/>
      <w:lvlText w:val=" "/>
      <w:lvlJc w:val="left"/>
      <w:pPr>
        <w:ind w:left="360" w:hanging="360"/>
      </w:pPr>
    </w:lvl>
    <w:lvl w:ilvl="1">
      <w:numFmt w:val="bullet"/>
      <w:lvlText w:val=" "/>
      <w:lvlJc w:val="left"/>
      <w:pPr>
        <w:ind w:left="1080" w:hanging="360"/>
      </w:pPr>
    </w:lvl>
    <w:lvl w:ilvl="2">
      <w:numFmt w:val="bullet"/>
      <w:lvlText w:val=" "/>
      <w:lvlJc w:val="left"/>
      <w:pPr>
        <w:ind w:left="1800" w:hanging="360"/>
      </w:pPr>
    </w:lvl>
    <w:lvl w:ilvl="3">
      <w:numFmt w:val="bullet"/>
      <w:lvlText w:val=" "/>
      <w:lvlJc w:val="left"/>
      <w:pPr>
        <w:ind w:left="2520" w:hanging="360"/>
      </w:pPr>
    </w:lvl>
    <w:lvl w:ilvl="4">
      <w:numFmt w:val="bullet"/>
      <w:lvlText w:val=" "/>
      <w:lvlJc w:val="left"/>
      <w:pPr>
        <w:ind w:left="3240" w:hanging="360"/>
      </w:pPr>
    </w:lvl>
    <w:lvl w:ilvl="5">
      <w:numFmt w:val="bullet"/>
      <w:lvlText w:val=" "/>
      <w:lvlJc w:val="left"/>
      <w:pPr>
        <w:ind w:left="3960" w:hanging="360"/>
      </w:pPr>
    </w:lvl>
    <w:lvl w:ilvl="6">
      <w:numFmt w:val="bullet"/>
      <w:lvlText w:val=" "/>
      <w:lvlJc w:val="left"/>
      <w:pPr>
        <w:ind w:left="4680" w:hanging="360"/>
      </w:pPr>
    </w:lvl>
    <w:lvl w:ilvl="7">
      <w:numFmt w:val="bullet"/>
      <w:lvlText w:val=" "/>
      <w:lvlJc w:val="left"/>
      <w:pPr>
        <w:ind w:left="5400" w:hanging="360"/>
      </w:pPr>
    </w:lvl>
    <w:lvl w:ilvl="8">
      <w:numFmt w:val="bullet"/>
      <w:lvlText w:val=" "/>
      <w:lvlJc w:val="left"/>
      <w:pPr>
        <w:ind w:left="6120" w:hanging="360"/>
      </w:pPr>
    </w:lvl>
  </w:abstractNum>
  <w:abstractNum w:abstractNumId="1" w15:restartNumberingAfterBreak="0">
    <w:nsid w:val="0000A991"/>
    <w:multiLevelType w:val="multilevel"/>
    <w:tmpl w:val="388A726C"/>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2" w15:restartNumberingAfterBreak="0">
    <w:nsid w:val="084313F6"/>
    <w:multiLevelType w:val="multilevel"/>
    <w:tmpl w:val="FCEA4D4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D50788"/>
    <w:multiLevelType w:val="multilevel"/>
    <w:tmpl w:val="40A0A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B312FDA"/>
    <w:multiLevelType w:val="hybridMultilevel"/>
    <w:tmpl w:val="ACCEF7F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63B278D7"/>
    <w:multiLevelType w:val="multilevel"/>
    <w:tmpl w:val="5510D6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6932F46"/>
    <w:multiLevelType w:val="multilevel"/>
    <w:tmpl w:val="BDCE0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75912115">
    <w:abstractNumId w:val="0"/>
  </w:num>
  <w:num w:numId="2" w16cid:durableId="1369839255">
    <w:abstractNumId w:val="1"/>
  </w:num>
  <w:num w:numId="3" w16cid:durableId="1917200461">
    <w:abstractNumId w:val="4"/>
  </w:num>
  <w:num w:numId="4" w16cid:durableId="412511592">
    <w:abstractNumId w:val="3"/>
  </w:num>
  <w:num w:numId="5" w16cid:durableId="831919628">
    <w:abstractNumId w:val="6"/>
  </w:num>
  <w:num w:numId="6" w16cid:durableId="682895992">
    <w:abstractNumId w:val="5"/>
  </w:num>
  <w:num w:numId="7" w16cid:durableId="308901226">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2"/>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25FA"/>
    <w:rsid w:val="00043419"/>
    <w:rsid w:val="0006492D"/>
    <w:rsid w:val="000A39D2"/>
    <w:rsid w:val="000D1580"/>
    <w:rsid w:val="001B212D"/>
    <w:rsid w:val="00217CCC"/>
    <w:rsid w:val="002744EB"/>
    <w:rsid w:val="00274BC0"/>
    <w:rsid w:val="002845CE"/>
    <w:rsid w:val="002F20D5"/>
    <w:rsid w:val="003042A5"/>
    <w:rsid w:val="0033367A"/>
    <w:rsid w:val="0033560C"/>
    <w:rsid w:val="003663F4"/>
    <w:rsid w:val="00430D43"/>
    <w:rsid w:val="00477D8E"/>
    <w:rsid w:val="004D652C"/>
    <w:rsid w:val="00510753"/>
    <w:rsid w:val="005B4C1C"/>
    <w:rsid w:val="00655326"/>
    <w:rsid w:val="006C463A"/>
    <w:rsid w:val="00734A51"/>
    <w:rsid w:val="00767B1E"/>
    <w:rsid w:val="007C432A"/>
    <w:rsid w:val="007E1F60"/>
    <w:rsid w:val="007E3F61"/>
    <w:rsid w:val="007F5498"/>
    <w:rsid w:val="00837B49"/>
    <w:rsid w:val="008819B6"/>
    <w:rsid w:val="008B07E3"/>
    <w:rsid w:val="008D79F8"/>
    <w:rsid w:val="008E6D2D"/>
    <w:rsid w:val="008F6F7C"/>
    <w:rsid w:val="00935A13"/>
    <w:rsid w:val="00990805"/>
    <w:rsid w:val="009A18E8"/>
    <w:rsid w:val="009B515A"/>
    <w:rsid w:val="009C0BC7"/>
    <w:rsid w:val="009D2C4C"/>
    <w:rsid w:val="00A6653A"/>
    <w:rsid w:val="00AB1115"/>
    <w:rsid w:val="00AD7CCA"/>
    <w:rsid w:val="00B0067C"/>
    <w:rsid w:val="00BE54E5"/>
    <w:rsid w:val="00C75045"/>
    <w:rsid w:val="00CD0BEB"/>
    <w:rsid w:val="00D70F57"/>
    <w:rsid w:val="00D86123"/>
    <w:rsid w:val="00DF64D0"/>
    <w:rsid w:val="00E625FA"/>
    <w:rsid w:val="00E7229A"/>
    <w:rsid w:val="00ED49FD"/>
    <w:rsid w:val="00F233A2"/>
    <w:rsid w:val="00F54392"/>
    <w:rsid w:val="00F76F1A"/>
    <w:rsid w:val="00F938AB"/>
    <w:rsid w:val="00FA6608"/>
    <w:rsid w:val="00FB1F69"/>
    <w:rsid w:val="00FC38D4"/>
    <w:rsid w:val="00FD46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03B4D9"/>
  <w15:docId w15:val="{2D4913CE-7A06-DA43-BBF0-54DD219973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Strong" w:uiPriority="22"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pacing w:val="-10"/>
      <w:kern w:val="28"/>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NormalWeb">
    <w:name w:val="Normal (Web)"/>
    <w:basedOn w:val="Normal"/>
    <w:uiPriority w:val="99"/>
    <w:unhideWhenUsed/>
    <w:rsid w:val="006C463A"/>
    <w:pPr>
      <w:spacing w:before="100" w:beforeAutospacing="1" w:after="100" w:afterAutospacing="1"/>
    </w:pPr>
    <w:rPr>
      <w:rFonts w:ascii="Times New Roman" w:eastAsia="Times New Roman" w:hAnsi="Times New Roman" w:cs="Times New Roman"/>
    </w:rPr>
  </w:style>
  <w:style w:type="paragraph" w:styleId="Revision">
    <w:name w:val="Revision"/>
    <w:hidden/>
    <w:rsid w:val="00D86123"/>
    <w:pPr>
      <w:spacing w:after="0"/>
    </w:pPr>
  </w:style>
  <w:style w:type="character" w:styleId="CommentReference">
    <w:name w:val="annotation reference"/>
    <w:basedOn w:val="DefaultParagraphFont"/>
    <w:rsid w:val="000D1580"/>
    <w:rPr>
      <w:sz w:val="16"/>
      <w:szCs w:val="16"/>
    </w:rPr>
  </w:style>
  <w:style w:type="paragraph" w:styleId="CommentText">
    <w:name w:val="annotation text"/>
    <w:basedOn w:val="Normal"/>
    <w:link w:val="CommentTextChar"/>
    <w:rsid w:val="000D1580"/>
    <w:rPr>
      <w:sz w:val="20"/>
      <w:szCs w:val="20"/>
    </w:rPr>
  </w:style>
  <w:style w:type="character" w:customStyle="1" w:styleId="CommentTextChar">
    <w:name w:val="Comment Text Char"/>
    <w:basedOn w:val="DefaultParagraphFont"/>
    <w:link w:val="CommentText"/>
    <w:rsid w:val="000D1580"/>
    <w:rPr>
      <w:sz w:val="20"/>
      <w:szCs w:val="20"/>
    </w:rPr>
  </w:style>
  <w:style w:type="paragraph" w:styleId="CommentSubject">
    <w:name w:val="annotation subject"/>
    <w:basedOn w:val="CommentText"/>
    <w:next w:val="CommentText"/>
    <w:link w:val="CommentSubjectChar"/>
    <w:rsid w:val="000D1580"/>
    <w:rPr>
      <w:b/>
      <w:bCs/>
    </w:rPr>
  </w:style>
  <w:style w:type="character" w:customStyle="1" w:styleId="CommentSubjectChar">
    <w:name w:val="Comment Subject Char"/>
    <w:basedOn w:val="CommentTextChar"/>
    <w:link w:val="CommentSubject"/>
    <w:rsid w:val="000D1580"/>
    <w:rPr>
      <w:b/>
      <w:bCs/>
      <w:sz w:val="20"/>
      <w:szCs w:val="20"/>
    </w:rPr>
  </w:style>
  <w:style w:type="character" w:styleId="FollowedHyperlink">
    <w:name w:val="FollowedHyperlink"/>
    <w:basedOn w:val="DefaultParagraphFont"/>
    <w:rsid w:val="000D1580"/>
    <w:rPr>
      <w:color w:val="96607D" w:themeColor="followedHyperlink"/>
      <w:u w:val="single"/>
    </w:rPr>
  </w:style>
  <w:style w:type="character" w:styleId="UnresolvedMention">
    <w:name w:val="Unresolved Mention"/>
    <w:basedOn w:val="DefaultParagraphFont"/>
    <w:uiPriority w:val="99"/>
    <w:semiHidden/>
    <w:unhideWhenUsed/>
    <w:rsid w:val="000D1580"/>
    <w:rPr>
      <w:color w:val="605E5C"/>
      <w:shd w:val="clear" w:color="auto" w:fill="E1DFDD"/>
    </w:rPr>
  </w:style>
  <w:style w:type="paragraph" w:styleId="ListParagraph">
    <w:name w:val="List Paragraph"/>
    <w:basedOn w:val="Normal"/>
    <w:rsid w:val="008819B6"/>
    <w:pPr>
      <w:ind w:left="720"/>
      <w:contextualSpacing/>
    </w:pPr>
  </w:style>
  <w:style w:type="character" w:customStyle="1" w:styleId="anchor-text">
    <w:name w:val="anchor-text"/>
    <w:basedOn w:val="DefaultParagraphFont"/>
    <w:rsid w:val="003042A5"/>
  </w:style>
  <w:style w:type="character" w:customStyle="1" w:styleId="sr-only">
    <w:name w:val="sr-only"/>
    <w:basedOn w:val="DefaultParagraphFont"/>
    <w:rsid w:val="003042A5"/>
  </w:style>
  <w:style w:type="character" w:customStyle="1" w:styleId="identifier">
    <w:name w:val="identifier"/>
    <w:basedOn w:val="DefaultParagraphFont"/>
    <w:rsid w:val="00043419"/>
  </w:style>
  <w:style w:type="character" w:styleId="Strong">
    <w:name w:val="Strong"/>
    <w:basedOn w:val="DefaultParagraphFont"/>
    <w:uiPriority w:val="22"/>
    <w:qFormat/>
    <w:rsid w:val="009D2C4C"/>
    <w:rPr>
      <w:b/>
      <w:bCs/>
    </w:rPr>
  </w:style>
  <w:style w:type="character" w:customStyle="1" w:styleId="apple-converted-space">
    <w:name w:val="apple-converted-space"/>
    <w:basedOn w:val="DefaultParagraphFont"/>
    <w:rsid w:val="00F76F1A"/>
  </w:style>
  <w:style w:type="character" w:styleId="BookTitle">
    <w:name w:val="Book Title"/>
    <w:basedOn w:val="DefaultParagraphFont"/>
    <w:rsid w:val="00FC38D4"/>
    <w:rPr>
      <w:b/>
      <w:bCs/>
      <w:i/>
      <w:iCs/>
      <w:spacing w:val="5"/>
    </w:rPr>
  </w:style>
  <w:style w:type="character" w:styleId="Emphasis">
    <w:name w:val="Emphasis"/>
    <w:basedOn w:val="DefaultParagraphFont"/>
    <w:rsid w:val="00FC38D4"/>
    <w:rPr>
      <w:i/>
      <w:iCs/>
    </w:rPr>
  </w:style>
  <w:style w:type="character" w:styleId="IntenseEmphasis">
    <w:name w:val="Intense Emphasis"/>
    <w:basedOn w:val="DefaultParagraphFont"/>
    <w:rsid w:val="00FC38D4"/>
    <w:rPr>
      <w:i/>
      <w:iCs/>
      <w:color w:val="156082" w:themeColor="accent1"/>
    </w:rPr>
  </w:style>
  <w:style w:type="paragraph" w:styleId="IntenseQuote">
    <w:name w:val="Intense Quote"/>
    <w:basedOn w:val="Normal"/>
    <w:next w:val="Normal"/>
    <w:link w:val="IntenseQuoteChar"/>
    <w:rsid w:val="00FC38D4"/>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rsid w:val="00FC38D4"/>
    <w:rPr>
      <w:i/>
      <w:iCs/>
      <w:color w:val="156082" w:themeColor="accent1"/>
    </w:rPr>
  </w:style>
  <w:style w:type="character" w:styleId="IntenseReference">
    <w:name w:val="Intense Reference"/>
    <w:basedOn w:val="DefaultParagraphFont"/>
    <w:rsid w:val="00FC38D4"/>
    <w:rPr>
      <w:b/>
      <w:bCs/>
      <w:smallCaps/>
      <w:color w:val="156082" w:themeColor="accent1"/>
      <w:spacing w:val="5"/>
    </w:rPr>
  </w:style>
  <w:style w:type="paragraph" w:styleId="NoSpacing">
    <w:name w:val="No Spacing"/>
    <w:rsid w:val="00FC38D4"/>
    <w:pPr>
      <w:spacing w:after="0"/>
    </w:pPr>
  </w:style>
  <w:style w:type="paragraph" w:styleId="Quote">
    <w:name w:val="Quote"/>
    <w:basedOn w:val="Normal"/>
    <w:next w:val="Normal"/>
    <w:link w:val="QuoteChar"/>
    <w:rsid w:val="00FC38D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rsid w:val="00FC38D4"/>
    <w:rPr>
      <w:i/>
      <w:iCs/>
      <w:color w:val="404040" w:themeColor="text1" w:themeTint="BF"/>
    </w:rPr>
  </w:style>
  <w:style w:type="character" w:styleId="SubtleEmphasis">
    <w:name w:val="Subtle Emphasis"/>
    <w:basedOn w:val="DefaultParagraphFont"/>
    <w:rsid w:val="00FC38D4"/>
    <w:rPr>
      <w:i/>
      <w:iCs/>
      <w:color w:val="404040" w:themeColor="text1" w:themeTint="BF"/>
    </w:rPr>
  </w:style>
  <w:style w:type="character" w:styleId="SubtleReference">
    <w:name w:val="Subtle Reference"/>
    <w:basedOn w:val="DefaultParagraphFont"/>
    <w:rsid w:val="00FC38D4"/>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consumermedsafety.org/safety-tips/keep-a-record-of-your-medicine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948</Words>
  <Characters>7109</Characters>
  <Application>Microsoft Office Word</Application>
  <DocSecurity>0</DocSecurity>
  <Lines>134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Bob Feroli</dc:creator>
  <cp:keywords/>
  <cp:lastModifiedBy>Bob Feroli</cp:lastModifiedBy>
  <cp:revision>3</cp:revision>
  <cp:lastPrinted>2026-09-15T15:51:00Z</cp:lastPrinted>
  <dcterms:created xsi:type="dcterms:W3CDTF">2026-10-30T15:09:00Z</dcterms:created>
  <dcterms:modified xsi:type="dcterms:W3CDTF">2026-10-30T15:09:00Z</dcterms:modified>
</cp:coreProperties>
</file>